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A62" w:rsidRPr="00F71C50" w:rsidRDefault="00D34A62" w:rsidP="00D34A62">
      <w:pPr>
        <w:tabs>
          <w:tab w:val="left" w:pos="9498"/>
        </w:tabs>
        <w:jc w:val="center"/>
      </w:pPr>
      <w:r w:rsidRPr="00F71C50">
        <w:rPr>
          <w:b/>
          <w:bCs/>
          <w:noProof/>
        </w:rPr>
        <w:drawing>
          <wp:inline distT="0" distB="0" distL="0" distR="0">
            <wp:extent cx="704850" cy="914400"/>
            <wp:effectExtent l="1905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A62" w:rsidRPr="00F71C50" w:rsidRDefault="00D34A62" w:rsidP="00D34A62">
      <w:pPr>
        <w:tabs>
          <w:tab w:val="left" w:pos="9498"/>
        </w:tabs>
        <w:jc w:val="center"/>
      </w:pPr>
    </w:p>
    <w:p w:rsidR="00D34A62" w:rsidRPr="00F71C50" w:rsidRDefault="00D34A62" w:rsidP="00D34A62">
      <w:pPr>
        <w:pStyle w:val="a9"/>
        <w:tabs>
          <w:tab w:val="left" w:pos="9498"/>
        </w:tabs>
        <w:rPr>
          <w:rFonts w:ascii="Times New Roman" w:hAnsi="Times New Roman" w:cs="Times New Roman"/>
          <w:sz w:val="24"/>
          <w:szCs w:val="24"/>
        </w:rPr>
      </w:pPr>
      <w:r w:rsidRPr="00F71C50">
        <w:rPr>
          <w:rFonts w:ascii="Times New Roman" w:hAnsi="Times New Roman" w:cs="Times New Roman"/>
          <w:sz w:val="24"/>
          <w:szCs w:val="24"/>
        </w:rPr>
        <w:t>СОБРАНИЕ ДЕПУТАТОВ МЕЖЕВСКОГО МУНИЦИПАЛЬНОГО РАЙОНА</w:t>
      </w:r>
    </w:p>
    <w:p w:rsidR="00D34A62" w:rsidRPr="00F71C50" w:rsidRDefault="00D34A62" w:rsidP="00D34A62">
      <w:pPr>
        <w:pStyle w:val="a9"/>
        <w:tabs>
          <w:tab w:val="left" w:pos="9498"/>
        </w:tabs>
        <w:rPr>
          <w:rFonts w:ascii="Times New Roman" w:hAnsi="Times New Roman" w:cs="Times New Roman"/>
          <w:sz w:val="24"/>
          <w:szCs w:val="24"/>
        </w:rPr>
      </w:pPr>
      <w:r w:rsidRPr="00F71C50">
        <w:rPr>
          <w:rFonts w:ascii="Times New Roman" w:hAnsi="Times New Roman" w:cs="Times New Roman"/>
          <w:sz w:val="24"/>
          <w:szCs w:val="24"/>
        </w:rPr>
        <w:t>(пятого  созыва)</w:t>
      </w:r>
    </w:p>
    <w:p w:rsidR="00D34A62" w:rsidRPr="00F71C50" w:rsidRDefault="00D34A62" w:rsidP="00D34A62">
      <w:pPr>
        <w:pStyle w:val="1"/>
        <w:tabs>
          <w:tab w:val="left" w:pos="9498"/>
        </w:tabs>
        <w:rPr>
          <w:sz w:val="24"/>
          <w:szCs w:val="24"/>
        </w:rPr>
      </w:pPr>
    </w:p>
    <w:p w:rsidR="00D34A62" w:rsidRPr="00F71C50" w:rsidRDefault="00D34A62" w:rsidP="00D34A62">
      <w:pPr>
        <w:pStyle w:val="1"/>
        <w:tabs>
          <w:tab w:val="left" w:pos="9498"/>
        </w:tabs>
        <w:rPr>
          <w:b w:val="0"/>
          <w:sz w:val="24"/>
          <w:szCs w:val="24"/>
        </w:rPr>
      </w:pPr>
      <w:proofErr w:type="gramStart"/>
      <w:r w:rsidRPr="00F71C50">
        <w:rPr>
          <w:sz w:val="24"/>
          <w:szCs w:val="24"/>
        </w:rPr>
        <w:t>Р</w:t>
      </w:r>
      <w:proofErr w:type="gramEnd"/>
      <w:r w:rsidRPr="00F71C50">
        <w:rPr>
          <w:sz w:val="24"/>
          <w:szCs w:val="24"/>
        </w:rPr>
        <w:t xml:space="preserve"> Е Ш Е Н И Е</w:t>
      </w:r>
    </w:p>
    <w:p w:rsidR="00D34A62" w:rsidRPr="00F71C50" w:rsidRDefault="00D34A62" w:rsidP="00D34A62">
      <w:pPr>
        <w:jc w:val="center"/>
      </w:pPr>
    </w:p>
    <w:p w:rsidR="00D34A62" w:rsidRPr="00F71C50" w:rsidRDefault="00D34A62" w:rsidP="00D34A62">
      <w:pPr>
        <w:jc w:val="center"/>
      </w:pPr>
      <w:r w:rsidRPr="00F71C50">
        <w:t>с</w:t>
      </w:r>
      <w:proofErr w:type="gramStart"/>
      <w:r w:rsidRPr="00F71C50">
        <w:t>.Г</w:t>
      </w:r>
      <w:proofErr w:type="gramEnd"/>
      <w:r w:rsidRPr="00F71C50">
        <w:t>еоргиевское</w:t>
      </w:r>
    </w:p>
    <w:p w:rsidR="00D34A62" w:rsidRPr="00F71C50" w:rsidRDefault="00D34A62" w:rsidP="00D34A62">
      <w:pPr>
        <w:pStyle w:val="2"/>
        <w:jc w:val="center"/>
        <w:rPr>
          <w:sz w:val="24"/>
          <w:szCs w:val="24"/>
        </w:rPr>
      </w:pPr>
    </w:p>
    <w:p w:rsidR="00D34A62" w:rsidRPr="00F71C50" w:rsidRDefault="00D34A62" w:rsidP="00D34A62">
      <w:pPr>
        <w:pStyle w:val="2"/>
        <w:jc w:val="center"/>
        <w:rPr>
          <w:b/>
        </w:rPr>
      </w:pPr>
      <w:r w:rsidRPr="00F71C50">
        <w:rPr>
          <w:sz w:val="24"/>
          <w:szCs w:val="24"/>
        </w:rPr>
        <w:t xml:space="preserve">от      </w:t>
      </w:r>
      <w:r w:rsidR="00F704C2">
        <w:rPr>
          <w:sz w:val="24"/>
          <w:szCs w:val="24"/>
        </w:rPr>
        <w:t>28</w:t>
      </w:r>
      <w:r w:rsidRPr="00F71C50">
        <w:rPr>
          <w:sz w:val="24"/>
          <w:szCs w:val="24"/>
        </w:rPr>
        <w:t xml:space="preserve"> декабря  2018  №   </w:t>
      </w:r>
      <w:r>
        <w:rPr>
          <w:sz w:val="24"/>
          <w:szCs w:val="24"/>
        </w:rPr>
        <w:t>2</w:t>
      </w:r>
      <w:r w:rsidR="00F704C2">
        <w:rPr>
          <w:sz w:val="24"/>
          <w:szCs w:val="24"/>
        </w:rPr>
        <w:t>80</w:t>
      </w:r>
      <w:r w:rsidRPr="00F71C50">
        <w:rPr>
          <w:sz w:val="24"/>
          <w:szCs w:val="24"/>
        </w:rPr>
        <w:t xml:space="preserve"> </w:t>
      </w:r>
    </w:p>
    <w:p w:rsidR="00D34A62" w:rsidRPr="00F71C50" w:rsidRDefault="00D34A62" w:rsidP="00D34A62">
      <w:pPr>
        <w:jc w:val="center"/>
        <w:rPr>
          <w:b/>
          <w:bCs/>
        </w:rPr>
      </w:pPr>
    </w:p>
    <w:p w:rsidR="00D34A62" w:rsidRPr="00F71C50" w:rsidRDefault="00D34A62" w:rsidP="00D34A62">
      <w:pPr>
        <w:jc w:val="center"/>
        <w:rPr>
          <w:b/>
        </w:rPr>
      </w:pPr>
      <w:r w:rsidRPr="00F71C50">
        <w:rPr>
          <w:b/>
        </w:rPr>
        <w:t xml:space="preserve">Об утверждении экспертного  заключения </w:t>
      </w:r>
    </w:p>
    <w:p w:rsidR="00D34A62" w:rsidRPr="00F71C50" w:rsidRDefault="00D34A62" w:rsidP="00D34A62">
      <w:pPr>
        <w:jc w:val="center"/>
        <w:rPr>
          <w:b/>
        </w:rPr>
      </w:pPr>
      <w:r w:rsidRPr="00F71C50">
        <w:rPr>
          <w:b/>
        </w:rPr>
        <w:t xml:space="preserve">к проекту решения «О бюджете Межевского муниципального района на 2019 год» </w:t>
      </w:r>
    </w:p>
    <w:p w:rsidR="00D34A62" w:rsidRPr="00F71C50" w:rsidRDefault="00F704C2" w:rsidP="00D34A62">
      <w:pPr>
        <w:jc w:val="center"/>
        <w:rPr>
          <w:b/>
        </w:rPr>
      </w:pPr>
      <w:r>
        <w:rPr>
          <w:b/>
        </w:rPr>
        <w:t>(второе чтение)</w:t>
      </w:r>
      <w:r w:rsidR="00D34A62">
        <w:rPr>
          <w:b/>
        </w:rPr>
        <w:t xml:space="preserve"> </w:t>
      </w:r>
    </w:p>
    <w:p w:rsidR="00D34A62" w:rsidRPr="00F71C50" w:rsidRDefault="00D34A62" w:rsidP="00D34A62">
      <w:pPr>
        <w:jc w:val="both"/>
      </w:pPr>
    </w:p>
    <w:p w:rsidR="00D34A62" w:rsidRPr="00F71C50" w:rsidRDefault="00D34A62" w:rsidP="00D34A62">
      <w:pPr>
        <w:jc w:val="both"/>
      </w:pPr>
      <w:r w:rsidRPr="00F71C50">
        <w:t xml:space="preserve">    </w:t>
      </w:r>
      <w:r w:rsidRPr="00F71C50">
        <w:tab/>
        <w:t>На основании  Бюджетного  кодекса Российской Федерации,   Положения о бюджетном процессе в Межевском муниципальном районе Костромской области, утвержденного решением Собрания депутатов Межевского муниципального района от 03.03.2015 года № 348,  Положения о Контрольно-счетной комиссии Межевского муниципального района, утвержденного решением Собрания депутатов Межевского муниципального района от 25.04.2013 года № 172</w:t>
      </w:r>
    </w:p>
    <w:p w:rsidR="00F704C2" w:rsidRDefault="00F704C2" w:rsidP="00D34A62">
      <w:pPr>
        <w:jc w:val="center"/>
        <w:rPr>
          <w:b/>
        </w:rPr>
      </w:pPr>
    </w:p>
    <w:p w:rsidR="00D34A62" w:rsidRPr="00F71C50" w:rsidRDefault="00D34A62" w:rsidP="00D34A62">
      <w:pPr>
        <w:jc w:val="center"/>
        <w:rPr>
          <w:b/>
        </w:rPr>
      </w:pPr>
      <w:r w:rsidRPr="00F71C50">
        <w:rPr>
          <w:b/>
        </w:rPr>
        <w:t>Собрание депутатов решило:</w:t>
      </w:r>
    </w:p>
    <w:p w:rsidR="00D34A62" w:rsidRPr="00F71C50" w:rsidRDefault="00D34A62" w:rsidP="00D34A62">
      <w:pPr>
        <w:jc w:val="both"/>
        <w:rPr>
          <w:b/>
        </w:rPr>
      </w:pPr>
    </w:p>
    <w:p w:rsidR="00D34A62" w:rsidRPr="00F71C50" w:rsidRDefault="00D34A62" w:rsidP="00D34A62">
      <w:pPr>
        <w:jc w:val="both"/>
      </w:pPr>
      <w:r w:rsidRPr="00F71C50">
        <w:t xml:space="preserve"> </w:t>
      </w:r>
      <w:r w:rsidRPr="00F71C50">
        <w:tab/>
        <w:t xml:space="preserve">1. Утвердить прилагаемое  Экспертное заключение контрольно-счетной комиссии Межевского муниципального района  на  проект решения Собрания депутатов Межевского муниципального района     «О бюджете Межевского муниципального района на 2019 год» </w:t>
      </w:r>
      <w:r w:rsidR="00F704C2">
        <w:t>(второе чтение)</w:t>
      </w:r>
    </w:p>
    <w:p w:rsidR="00D34A62" w:rsidRPr="00F71C50" w:rsidRDefault="00D34A62" w:rsidP="00D34A62">
      <w:pPr>
        <w:tabs>
          <w:tab w:val="left" w:pos="284"/>
        </w:tabs>
        <w:suppressAutoHyphens/>
        <w:jc w:val="both"/>
      </w:pPr>
      <w:r w:rsidRPr="00F71C50">
        <w:tab/>
      </w:r>
      <w:r w:rsidRPr="00F71C50">
        <w:tab/>
        <w:t>2.Рекомендовать финансовому отделу администрации Межевского муниципального района учесть предложения и замечания, изложенные в Экспертном заключении контрольно-счетной комиссии Межевского муниципального района.</w:t>
      </w:r>
    </w:p>
    <w:p w:rsidR="00D34A62" w:rsidRPr="00F71C50" w:rsidRDefault="00D34A62" w:rsidP="00D34A62">
      <w:pPr>
        <w:tabs>
          <w:tab w:val="left" w:pos="284"/>
        </w:tabs>
        <w:suppressAutoHyphens/>
        <w:jc w:val="both"/>
      </w:pPr>
      <w:r w:rsidRPr="00F71C50">
        <w:t xml:space="preserve"> </w:t>
      </w:r>
      <w:r w:rsidRPr="00F71C50">
        <w:tab/>
      </w:r>
      <w:r w:rsidRPr="00F71C50">
        <w:tab/>
      </w:r>
      <w:r w:rsidRPr="00F71C50">
        <w:rPr>
          <w:bCs/>
        </w:rPr>
        <w:t xml:space="preserve"> </w:t>
      </w:r>
    </w:p>
    <w:p w:rsidR="00D34A62" w:rsidRPr="00F71C50" w:rsidRDefault="00D34A62" w:rsidP="00D34A62">
      <w:pPr>
        <w:ind w:firstLine="708"/>
        <w:jc w:val="both"/>
        <w:rPr>
          <w:b/>
          <w:bCs/>
          <w:sz w:val="22"/>
          <w:szCs w:val="22"/>
        </w:rPr>
      </w:pPr>
      <w:r w:rsidRPr="00F71C50">
        <w:t>3. Настоящее решение  вступает в силу с момента подписания.</w:t>
      </w:r>
      <w:r w:rsidRPr="00F71C50">
        <w:rPr>
          <w:b/>
          <w:bCs/>
          <w:sz w:val="22"/>
          <w:szCs w:val="22"/>
        </w:rPr>
        <w:t xml:space="preserve"> </w:t>
      </w:r>
    </w:p>
    <w:p w:rsidR="00D34A62" w:rsidRPr="00F71C50" w:rsidRDefault="00D34A62" w:rsidP="00D34A62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</w:pPr>
      <w:r w:rsidRPr="00F71C50">
        <w:t xml:space="preserve">  </w:t>
      </w:r>
    </w:p>
    <w:p w:rsidR="00D34A62" w:rsidRPr="00F71C50" w:rsidRDefault="00D34A62" w:rsidP="00D34A62">
      <w:pPr>
        <w:jc w:val="both"/>
      </w:pPr>
      <w:r w:rsidRPr="00F71C50">
        <w:t xml:space="preserve">  </w:t>
      </w:r>
    </w:p>
    <w:p w:rsidR="00D34A62" w:rsidRPr="00F71C50" w:rsidRDefault="00D34A62" w:rsidP="00D34A62">
      <w:pPr>
        <w:jc w:val="both"/>
      </w:pPr>
    </w:p>
    <w:p w:rsidR="00D34A62" w:rsidRPr="00F71C50" w:rsidRDefault="00D34A62" w:rsidP="00D34A62">
      <w:pPr>
        <w:jc w:val="both"/>
      </w:pPr>
      <w:r w:rsidRPr="00F71C50">
        <w:t xml:space="preserve"> </w:t>
      </w:r>
    </w:p>
    <w:tbl>
      <w:tblPr>
        <w:tblW w:w="0" w:type="auto"/>
        <w:tblLook w:val="01E0"/>
      </w:tblPr>
      <w:tblGrid>
        <w:gridCol w:w="4785"/>
        <w:gridCol w:w="4786"/>
      </w:tblGrid>
      <w:tr w:rsidR="00D34A62" w:rsidRPr="00F71C50" w:rsidTr="00B441E0">
        <w:tc>
          <w:tcPr>
            <w:tcW w:w="4785" w:type="dxa"/>
          </w:tcPr>
          <w:p w:rsidR="00D34A62" w:rsidRPr="00F71C50" w:rsidRDefault="00D34A62" w:rsidP="00B441E0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1C50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 депутатов</w:t>
            </w:r>
          </w:p>
          <w:p w:rsidR="00D34A62" w:rsidRPr="00F71C50" w:rsidRDefault="00D34A62" w:rsidP="00B441E0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1C50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D34A62" w:rsidRPr="00F71C50" w:rsidRDefault="00D34A62" w:rsidP="00B441E0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1C50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</w:t>
            </w:r>
          </w:p>
          <w:p w:rsidR="00D34A62" w:rsidRPr="00F71C50" w:rsidRDefault="00D34A62" w:rsidP="00B441E0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1C50">
              <w:rPr>
                <w:rFonts w:ascii="Times New Roman" w:hAnsi="Times New Roman" w:cs="Times New Roman"/>
                <w:sz w:val="24"/>
                <w:szCs w:val="24"/>
              </w:rPr>
              <w:t>М.Н.Курашов</w:t>
            </w:r>
          </w:p>
        </w:tc>
        <w:tc>
          <w:tcPr>
            <w:tcW w:w="4786" w:type="dxa"/>
          </w:tcPr>
          <w:p w:rsidR="00D34A62" w:rsidRPr="00F71C50" w:rsidRDefault="00D34A62" w:rsidP="00B441E0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1C50">
              <w:rPr>
                <w:rFonts w:ascii="Times New Roman" w:hAnsi="Times New Roman" w:cs="Times New Roman"/>
                <w:sz w:val="24"/>
                <w:szCs w:val="24"/>
              </w:rPr>
              <w:t xml:space="preserve">Глава   Межевского </w:t>
            </w:r>
            <w:proofErr w:type="gramStart"/>
            <w:r w:rsidRPr="00F71C5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D34A62" w:rsidRPr="00F71C50" w:rsidRDefault="00D34A62" w:rsidP="00B441E0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1C50">
              <w:rPr>
                <w:rFonts w:ascii="Times New Roman" w:hAnsi="Times New Roman" w:cs="Times New Roman"/>
                <w:sz w:val="24"/>
                <w:szCs w:val="24"/>
              </w:rPr>
              <w:t>района  Костромской области</w:t>
            </w:r>
          </w:p>
          <w:p w:rsidR="00D34A62" w:rsidRPr="00F71C50" w:rsidRDefault="00D34A62" w:rsidP="00B441E0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1C50">
              <w:rPr>
                <w:rFonts w:ascii="Times New Roman" w:hAnsi="Times New Roman" w:cs="Times New Roman"/>
                <w:sz w:val="24"/>
                <w:szCs w:val="24"/>
              </w:rPr>
              <w:t>А.А.Лобанов</w:t>
            </w:r>
          </w:p>
        </w:tc>
      </w:tr>
    </w:tbl>
    <w:p w:rsidR="00D34A62" w:rsidRDefault="00D34A62">
      <w:pPr>
        <w:spacing w:after="200" w:line="276" w:lineRule="auto"/>
        <w:rPr>
          <w:bCs/>
          <w:color w:val="000000"/>
          <w:spacing w:val="-7"/>
          <w:sz w:val="18"/>
          <w:szCs w:val="18"/>
        </w:rPr>
      </w:pPr>
      <w:r>
        <w:rPr>
          <w:bCs/>
          <w:color w:val="000000"/>
          <w:spacing w:val="-7"/>
          <w:sz w:val="18"/>
          <w:szCs w:val="18"/>
        </w:rPr>
        <w:br w:type="page"/>
      </w:r>
    </w:p>
    <w:p w:rsidR="00D34A62" w:rsidRPr="00A44709" w:rsidRDefault="00D34A62" w:rsidP="00D34A62">
      <w:pPr>
        <w:jc w:val="right"/>
        <w:rPr>
          <w:sz w:val="16"/>
          <w:szCs w:val="16"/>
        </w:rPr>
      </w:pPr>
      <w:r w:rsidRPr="00A44709">
        <w:rPr>
          <w:sz w:val="16"/>
          <w:szCs w:val="16"/>
        </w:rPr>
        <w:lastRenderedPageBreak/>
        <w:t xml:space="preserve">Приложение </w:t>
      </w:r>
    </w:p>
    <w:p w:rsidR="00D34A62" w:rsidRPr="00A44709" w:rsidRDefault="00D34A62" w:rsidP="00D34A62">
      <w:pPr>
        <w:jc w:val="right"/>
        <w:rPr>
          <w:sz w:val="16"/>
          <w:szCs w:val="16"/>
        </w:rPr>
      </w:pPr>
      <w:r w:rsidRPr="00A44709">
        <w:rPr>
          <w:sz w:val="16"/>
          <w:szCs w:val="16"/>
        </w:rPr>
        <w:t>к решению Собрания депутатов</w:t>
      </w:r>
    </w:p>
    <w:p w:rsidR="00D34A62" w:rsidRPr="00A44709" w:rsidRDefault="00D34A62" w:rsidP="00D34A62">
      <w:pPr>
        <w:jc w:val="right"/>
        <w:rPr>
          <w:sz w:val="16"/>
          <w:szCs w:val="16"/>
        </w:rPr>
      </w:pPr>
      <w:r w:rsidRPr="00A44709">
        <w:rPr>
          <w:sz w:val="16"/>
          <w:szCs w:val="16"/>
        </w:rPr>
        <w:t xml:space="preserve"> № 2</w:t>
      </w:r>
      <w:r w:rsidR="00F704C2">
        <w:rPr>
          <w:sz w:val="16"/>
          <w:szCs w:val="16"/>
        </w:rPr>
        <w:t>80</w:t>
      </w:r>
      <w:r w:rsidRPr="00A44709">
        <w:rPr>
          <w:sz w:val="16"/>
          <w:szCs w:val="16"/>
        </w:rPr>
        <w:t xml:space="preserve"> от </w:t>
      </w:r>
      <w:r w:rsidR="00F704C2">
        <w:rPr>
          <w:sz w:val="16"/>
          <w:szCs w:val="16"/>
        </w:rPr>
        <w:t xml:space="preserve">28 </w:t>
      </w:r>
      <w:r w:rsidRPr="00A44709">
        <w:rPr>
          <w:sz w:val="16"/>
          <w:szCs w:val="16"/>
        </w:rPr>
        <w:t>декабря 2018 года</w:t>
      </w:r>
    </w:p>
    <w:p w:rsidR="00D34A62" w:rsidRPr="00A44709" w:rsidRDefault="00D34A62" w:rsidP="00D34A62">
      <w:pPr>
        <w:jc w:val="right"/>
        <w:rPr>
          <w:sz w:val="16"/>
          <w:szCs w:val="16"/>
        </w:rPr>
      </w:pPr>
      <w:r w:rsidRPr="00A44709">
        <w:rPr>
          <w:sz w:val="16"/>
          <w:szCs w:val="16"/>
        </w:rPr>
        <w:t xml:space="preserve"> «Об утверждении экспертного  заключения </w:t>
      </w:r>
    </w:p>
    <w:p w:rsidR="00D34A62" w:rsidRPr="00F704C2" w:rsidRDefault="00D34A62" w:rsidP="00D34A62">
      <w:pPr>
        <w:jc w:val="right"/>
        <w:rPr>
          <w:sz w:val="16"/>
          <w:szCs w:val="16"/>
        </w:rPr>
      </w:pPr>
      <w:r w:rsidRPr="00A44709">
        <w:rPr>
          <w:sz w:val="16"/>
          <w:szCs w:val="16"/>
        </w:rPr>
        <w:t xml:space="preserve">к проекту решения «О </w:t>
      </w:r>
      <w:r w:rsidRPr="00F704C2">
        <w:rPr>
          <w:sz w:val="16"/>
          <w:szCs w:val="16"/>
        </w:rPr>
        <w:t>бюджете Межевского</w:t>
      </w:r>
    </w:p>
    <w:p w:rsidR="00D34A62" w:rsidRPr="00F704C2" w:rsidRDefault="00D34A62" w:rsidP="00D34A62">
      <w:pPr>
        <w:jc w:val="right"/>
        <w:rPr>
          <w:sz w:val="16"/>
          <w:szCs w:val="16"/>
        </w:rPr>
      </w:pPr>
      <w:r w:rsidRPr="00F704C2">
        <w:rPr>
          <w:sz w:val="16"/>
          <w:szCs w:val="16"/>
        </w:rPr>
        <w:t xml:space="preserve"> муниципального района на 2019 год» </w:t>
      </w:r>
      <w:r w:rsidR="00F704C2" w:rsidRPr="00F704C2">
        <w:rPr>
          <w:sz w:val="16"/>
          <w:szCs w:val="16"/>
        </w:rPr>
        <w:t>(второе чтение)</w:t>
      </w:r>
    </w:p>
    <w:p w:rsidR="00D34A62" w:rsidRPr="00F704C2" w:rsidRDefault="00D34A62" w:rsidP="00D34A62">
      <w:pPr>
        <w:jc w:val="right"/>
        <w:rPr>
          <w:sz w:val="16"/>
          <w:szCs w:val="16"/>
        </w:rPr>
      </w:pPr>
    </w:p>
    <w:p w:rsidR="00F704C2" w:rsidRPr="00F704C2" w:rsidRDefault="00F704C2" w:rsidP="00F704C2">
      <w:pPr>
        <w:jc w:val="center"/>
        <w:rPr>
          <w:sz w:val="16"/>
          <w:szCs w:val="16"/>
        </w:rPr>
      </w:pPr>
      <w:r w:rsidRPr="00F704C2">
        <w:rPr>
          <w:sz w:val="16"/>
          <w:szCs w:val="16"/>
        </w:rPr>
        <w:t xml:space="preserve">Заключение 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Контрольно-счетной комиссии Межевского муниципального района Костромской области к проекту решения «О бюджете Межевского муниципального района на 2019 год» на второе чтение познакомит Вас с положениями основного финансового документа Межевского муниципального района Костромской области на 2019 год.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 xml:space="preserve">       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В настоящем заключении в доступной и понятной форме представлены основные показатели бюджета района на 2019 год.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 xml:space="preserve">      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 xml:space="preserve">Бюджет – форма образования и расходования денежных средств, предназначенных для финансового обеспечения задач и функций государства, субъекта Российской Федерации и местного самоуправления (Статья 6 Бюджетного кодекса Российской Федерации). 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 xml:space="preserve">       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Бюджет Межевского муниципального района Костромской области – это финансовый план отражающий формирование его доходов и расходов.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 xml:space="preserve">Граждане – как налогоплательщики и потребители государственных и муниципальных услуг – должны быть уверены в том, что передаваемые ими в распоряжение государства средства используются прозрачно и эффективно, </w:t>
      </w:r>
      <w:proofErr w:type="gramStart"/>
      <w:r w:rsidRPr="00F704C2">
        <w:rPr>
          <w:sz w:val="16"/>
          <w:szCs w:val="16"/>
        </w:rPr>
        <w:t>приносят конкретные результаты</w:t>
      </w:r>
      <w:proofErr w:type="gramEnd"/>
      <w:r w:rsidRPr="00F704C2">
        <w:rPr>
          <w:sz w:val="16"/>
          <w:szCs w:val="16"/>
        </w:rPr>
        <w:t xml:space="preserve"> как для общества в целом, так и для каждой семьи, каждого человека.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Бюджетная система Российской Федерации на уровне Российской Федерации представлена Федеральным бюджетом, Бюджетами государственных внебюджетных фондов.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На уровне субъекта РФ бюджетами субъектов РФ и бюджетами территориальных государственных внебюджетных фондов.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На уровне местного самоуправления бюджетами городских округов, сельских поселений и бюджетами муниципальных районов.</w:t>
      </w:r>
    </w:p>
    <w:p w:rsidR="00F704C2" w:rsidRPr="00F704C2" w:rsidRDefault="00F704C2" w:rsidP="00F704C2">
      <w:pPr>
        <w:jc w:val="center"/>
        <w:rPr>
          <w:sz w:val="16"/>
          <w:szCs w:val="16"/>
        </w:rPr>
      </w:pPr>
      <w:r w:rsidRPr="00F704C2">
        <w:rPr>
          <w:sz w:val="16"/>
          <w:szCs w:val="16"/>
        </w:rPr>
        <w:t xml:space="preserve">КОНСОЛИДИРОВАННЫЙ БЮДЖЕТ МЕЖЕВСКОГО МУНИЦИПАЛЬНОГО РАЙОНА СОСТОИТ </w:t>
      </w:r>
      <w:proofErr w:type="gramStart"/>
      <w:r w:rsidRPr="00F704C2">
        <w:rPr>
          <w:sz w:val="16"/>
          <w:szCs w:val="16"/>
        </w:rPr>
        <w:t>ИЗ</w:t>
      </w:r>
      <w:proofErr w:type="gramEnd"/>
      <w:r w:rsidRPr="00F704C2">
        <w:rPr>
          <w:sz w:val="16"/>
          <w:szCs w:val="16"/>
        </w:rPr>
        <w:t>: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-Бюджета Межевского муниципального района;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-Бюджета Георгиевского сельского поселения;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-Бюджета Никольского сельского поселения;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-Бюджета Советского сельского поселения;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-Бюджета Родинского сельского поселения.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 xml:space="preserve">Бюджетный процесс – регламентируемая законодательством Российской Федерации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</w:t>
      </w:r>
      <w:proofErr w:type="gramStart"/>
      <w:r w:rsidRPr="00F704C2">
        <w:rPr>
          <w:sz w:val="16"/>
          <w:szCs w:val="16"/>
        </w:rPr>
        <w:t>контролю за</w:t>
      </w:r>
      <w:proofErr w:type="gramEnd"/>
      <w:r w:rsidRPr="00F704C2">
        <w:rPr>
          <w:sz w:val="16"/>
          <w:szCs w:val="16"/>
        </w:rPr>
        <w:t xml:space="preserve"> их исполнением, осуществлению бюджетного учета, составлению, внешней проверке, рассмотрению и утверждению бюджетной отчетности.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center"/>
        <w:rPr>
          <w:sz w:val="16"/>
          <w:szCs w:val="16"/>
        </w:rPr>
      </w:pPr>
      <w:r w:rsidRPr="00F704C2">
        <w:rPr>
          <w:sz w:val="16"/>
          <w:szCs w:val="16"/>
        </w:rPr>
        <w:t>СТАДИИ БЮДЖЕТНОГО ПРОЦЕССА:</w:t>
      </w:r>
    </w:p>
    <w:p w:rsidR="00F704C2" w:rsidRPr="00F704C2" w:rsidRDefault="00F704C2" w:rsidP="00F704C2">
      <w:pPr>
        <w:jc w:val="center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-Утверждение бюджета на очередной финансовый год и плановый период (Собрание депутатов Межевского муниципального района Костромской области, Советы депутатов сельских поселений);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-Исполнение бюджета текущего финансового года (Органы местного самоуправления; финансовые органы; главные распорядители бюджетных средств);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-Формирование отчетности об исполнении бюджета предыдущего отчетного финансового года (финансовый орган, главные распорядители бюджетных средств);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-Утверждение отчета об исполнении бюджета предыдущего финансового года (Собрание депутатов Межевского муниципального района Костромской области, Советы депутатов сельских поселений);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-Составление проекта бюджета на очередной финансовый год и плановый период (финансовый орган, главные распорядители бюджетных средств);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-Рассмотрение проекта бюджета на очередной финансовый год и плановый период (Собрание депутатов Межевского муниципального района Костромской области, Советы депутатов сельских поселений).</w:t>
      </w:r>
    </w:p>
    <w:p w:rsidR="00F704C2" w:rsidRDefault="00F704C2" w:rsidP="00F704C2">
      <w:pPr>
        <w:jc w:val="center"/>
        <w:rPr>
          <w:sz w:val="16"/>
          <w:szCs w:val="16"/>
        </w:rPr>
      </w:pPr>
    </w:p>
    <w:p w:rsidR="00F704C2" w:rsidRPr="00F704C2" w:rsidRDefault="00F704C2" w:rsidP="00F704C2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С</w:t>
      </w:r>
      <w:r w:rsidRPr="00F704C2">
        <w:rPr>
          <w:b/>
          <w:sz w:val="16"/>
          <w:szCs w:val="16"/>
        </w:rPr>
        <w:t>труктура</w:t>
      </w:r>
    </w:p>
    <w:p w:rsidR="00F704C2" w:rsidRPr="00F704C2" w:rsidRDefault="00F704C2" w:rsidP="00F704C2">
      <w:pPr>
        <w:jc w:val="center"/>
        <w:rPr>
          <w:b/>
          <w:sz w:val="16"/>
          <w:szCs w:val="16"/>
        </w:rPr>
      </w:pPr>
      <w:r w:rsidRPr="00F704C2">
        <w:rPr>
          <w:b/>
          <w:sz w:val="16"/>
          <w:szCs w:val="16"/>
        </w:rPr>
        <w:t>заключения к бюджету Межевского муниципального района Костромской области на 2019 год</w:t>
      </w:r>
    </w:p>
    <w:p w:rsidR="00F704C2" w:rsidRPr="00F704C2" w:rsidRDefault="00F704C2" w:rsidP="00F704C2">
      <w:pPr>
        <w:jc w:val="center"/>
        <w:rPr>
          <w:sz w:val="16"/>
          <w:szCs w:val="16"/>
        </w:rPr>
      </w:pPr>
    </w:p>
    <w:p w:rsidR="00F704C2" w:rsidRPr="00F704C2" w:rsidRDefault="00F704C2" w:rsidP="00F704C2">
      <w:pPr>
        <w:jc w:val="center"/>
        <w:rPr>
          <w:sz w:val="16"/>
          <w:szCs w:val="16"/>
        </w:rPr>
      </w:pPr>
    </w:p>
    <w:tbl>
      <w:tblPr>
        <w:tblW w:w="9491" w:type="dxa"/>
        <w:tblLook w:val="00A0"/>
      </w:tblPr>
      <w:tblGrid>
        <w:gridCol w:w="8188"/>
        <w:gridCol w:w="736"/>
        <w:gridCol w:w="567"/>
      </w:tblGrid>
      <w:tr w:rsidR="00F704C2" w:rsidRPr="00F704C2" w:rsidTr="005C38D8">
        <w:tc>
          <w:tcPr>
            <w:tcW w:w="8188" w:type="dxa"/>
          </w:tcPr>
          <w:p w:rsidR="00F704C2" w:rsidRPr="00F704C2" w:rsidRDefault="00F704C2" w:rsidP="005C38D8">
            <w:pPr>
              <w:spacing w:after="12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Основные параметры бюджета Межевского муниципального района Костромской области на 2019 год</w:t>
            </w:r>
          </w:p>
        </w:tc>
        <w:tc>
          <w:tcPr>
            <w:tcW w:w="736" w:type="dxa"/>
          </w:tcPr>
          <w:p w:rsidR="00F704C2" w:rsidRPr="00F704C2" w:rsidRDefault="00F704C2" w:rsidP="005C38D8">
            <w:pPr>
              <w:spacing w:after="120"/>
              <w:jc w:val="right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стр.</w:t>
            </w:r>
          </w:p>
        </w:tc>
        <w:tc>
          <w:tcPr>
            <w:tcW w:w="567" w:type="dxa"/>
          </w:tcPr>
          <w:p w:rsidR="00F704C2" w:rsidRPr="00F704C2" w:rsidRDefault="00F704C2" w:rsidP="005C38D8">
            <w:pPr>
              <w:spacing w:after="12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</w:t>
            </w:r>
          </w:p>
        </w:tc>
      </w:tr>
      <w:tr w:rsidR="00F704C2" w:rsidRPr="00F704C2" w:rsidTr="005C38D8">
        <w:tc>
          <w:tcPr>
            <w:tcW w:w="8188" w:type="dxa"/>
          </w:tcPr>
          <w:p w:rsidR="00F704C2" w:rsidRPr="00F704C2" w:rsidRDefault="00F704C2" w:rsidP="005C38D8">
            <w:pPr>
              <w:spacing w:after="120"/>
              <w:rPr>
                <w:b/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Доходы бюджета</w:t>
            </w:r>
            <w:r w:rsidRPr="00F704C2">
              <w:rPr>
                <w:b/>
                <w:sz w:val="16"/>
                <w:szCs w:val="16"/>
              </w:rPr>
              <w:t xml:space="preserve"> </w:t>
            </w:r>
            <w:r w:rsidRPr="00F704C2">
              <w:rPr>
                <w:sz w:val="16"/>
                <w:szCs w:val="16"/>
              </w:rPr>
              <w:t>Межевского муниципального района Костромской области на 2019 год</w:t>
            </w:r>
          </w:p>
        </w:tc>
        <w:tc>
          <w:tcPr>
            <w:tcW w:w="736" w:type="dxa"/>
          </w:tcPr>
          <w:p w:rsidR="00F704C2" w:rsidRPr="00F704C2" w:rsidRDefault="00F704C2" w:rsidP="005C38D8">
            <w:pPr>
              <w:spacing w:after="120"/>
              <w:jc w:val="right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стр.</w:t>
            </w:r>
          </w:p>
        </w:tc>
        <w:tc>
          <w:tcPr>
            <w:tcW w:w="567" w:type="dxa"/>
          </w:tcPr>
          <w:p w:rsidR="00F704C2" w:rsidRPr="00F704C2" w:rsidRDefault="00F704C2" w:rsidP="005C38D8">
            <w:pPr>
              <w:spacing w:after="12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5-7</w:t>
            </w:r>
          </w:p>
        </w:tc>
      </w:tr>
      <w:tr w:rsidR="00F704C2" w:rsidRPr="00F704C2" w:rsidTr="005C38D8">
        <w:tc>
          <w:tcPr>
            <w:tcW w:w="8188" w:type="dxa"/>
          </w:tcPr>
          <w:p w:rsidR="00F704C2" w:rsidRPr="00F704C2" w:rsidRDefault="00F704C2" w:rsidP="005C38D8">
            <w:pPr>
              <w:spacing w:after="120"/>
              <w:rPr>
                <w:b/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Расходы бюджета</w:t>
            </w:r>
            <w:r w:rsidRPr="00F704C2">
              <w:rPr>
                <w:b/>
                <w:sz w:val="16"/>
                <w:szCs w:val="16"/>
              </w:rPr>
              <w:t xml:space="preserve"> </w:t>
            </w:r>
            <w:r w:rsidRPr="00F704C2">
              <w:rPr>
                <w:sz w:val="16"/>
                <w:szCs w:val="16"/>
              </w:rPr>
              <w:t>Межевского муниципального района Костромской области на 2019 год</w:t>
            </w:r>
          </w:p>
        </w:tc>
        <w:tc>
          <w:tcPr>
            <w:tcW w:w="736" w:type="dxa"/>
          </w:tcPr>
          <w:p w:rsidR="00F704C2" w:rsidRPr="00F704C2" w:rsidRDefault="00F704C2" w:rsidP="005C38D8">
            <w:pPr>
              <w:spacing w:after="120"/>
              <w:jc w:val="right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стр.</w:t>
            </w:r>
          </w:p>
        </w:tc>
        <w:tc>
          <w:tcPr>
            <w:tcW w:w="567" w:type="dxa"/>
          </w:tcPr>
          <w:p w:rsidR="00F704C2" w:rsidRPr="00F704C2" w:rsidRDefault="00F704C2" w:rsidP="005C38D8">
            <w:pPr>
              <w:spacing w:after="12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8-9</w:t>
            </w:r>
          </w:p>
        </w:tc>
      </w:tr>
      <w:tr w:rsidR="00F704C2" w:rsidRPr="00F704C2" w:rsidTr="005C38D8">
        <w:tc>
          <w:tcPr>
            <w:tcW w:w="8188" w:type="dxa"/>
          </w:tcPr>
          <w:p w:rsidR="00F704C2" w:rsidRPr="00F704C2" w:rsidRDefault="00F704C2" w:rsidP="005C38D8">
            <w:pPr>
              <w:spacing w:after="12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Муниципальный долг, предельный объем муниципального долга</w:t>
            </w:r>
          </w:p>
        </w:tc>
        <w:tc>
          <w:tcPr>
            <w:tcW w:w="736" w:type="dxa"/>
          </w:tcPr>
          <w:p w:rsidR="00F704C2" w:rsidRPr="00F704C2" w:rsidRDefault="00F704C2" w:rsidP="005C38D8">
            <w:pPr>
              <w:spacing w:after="120"/>
              <w:jc w:val="right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стр.</w:t>
            </w:r>
          </w:p>
        </w:tc>
        <w:tc>
          <w:tcPr>
            <w:tcW w:w="567" w:type="dxa"/>
          </w:tcPr>
          <w:p w:rsidR="00F704C2" w:rsidRPr="00F704C2" w:rsidRDefault="00F704C2" w:rsidP="005C38D8">
            <w:pPr>
              <w:spacing w:after="12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</w:t>
            </w:r>
          </w:p>
        </w:tc>
      </w:tr>
      <w:tr w:rsidR="00F704C2" w:rsidRPr="00F704C2" w:rsidTr="005C38D8">
        <w:tc>
          <w:tcPr>
            <w:tcW w:w="8188" w:type="dxa"/>
          </w:tcPr>
          <w:p w:rsidR="00F704C2" w:rsidRPr="00F704C2" w:rsidRDefault="00F704C2" w:rsidP="005C38D8">
            <w:pPr>
              <w:spacing w:after="12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Контактная информация</w:t>
            </w:r>
          </w:p>
        </w:tc>
        <w:tc>
          <w:tcPr>
            <w:tcW w:w="736" w:type="dxa"/>
          </w:tcPr>
          <w:p w:rsidR="00F704C2" w:rsidRPr="00F704C2" w:rsidRDefault="00F704C2" w:rsidP="005C38D8">
            <w:pPr>
              <w:spacing w:after="120"/>
              <w:jc w:val="right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стр.</w:t>
            </w:r>
          </w:p>
        </w:tc>
        <w:tc>
          <w:tcPr>
            <w:tcW w:w="567" w:type="dxa"/>
          </w:tcPr>
          <w:p w:rsidR="00F704C2" w:rsidRPr="00F704C2" w:rsidRDefault="00F704C2" w:rsidP="005C38D8">
            <w:pPr>
              <w:spacing w:after="12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11</w:t>
            </w:r>
          </w:p>
        </w:tc>
      </w:tr>
    </w:tbl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 xml:space="preserve">     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ind w:firstLine="708"/>
        <w:jc w:val="both"/>
        <w:rPr>
          <w:sz w:val="16"/>
          <w:szCs w:val="16"/>
        </w:rPr>
      </w:pPr>
      <w:r w:rsidRPr="00F704C2">
        <w:rPr>
          <w:sz w:val="16"/>
          <w:szCs w:val="16"/>
        </w:rPr>
        <w:lastRenderedPageBreak/>
        <w:t>Настоящее Заключение о бюджете Межевского муниципального района Костромской области на 2019 год сформировано на основании проекта к решению Собрания депутатов</w:t>
      </w:r>
      <w:r w:rsidRPr="00F704C2">
        <w:rPr>
          <w:color w:val="FF0000"/>
          <w:sz w:val="16"/>
          <w:szCs w:val="16"/>
        </w:rPr>
        <w:t xml:space="preserve"> </w:t>
      </w:r>
      <w:r w:rsidRPr="00F704C2">
        <w:rPr>
          <w:sz w:val="16"/>
          <w:szCs w:val="16"/>
        </w:rPr>
        <w:t xml:space="preserve">Межевского муниципального района «О  бюджете Межевского муниципального района Костромской области на 2019 год».  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center"/>
        <w:rPr>
          <w:sz w:val="16"/>
          <w:szCs w:val="16"/>
        </w:rPr>
      </w:pPr>
      <w:r w:rsidRPr="00F704C2">
        <w:rPr>
          <w:sz w:val="16"/>
          <w:szCs w:val="16"/>
        </w:rPr>
        <w:t>ОСНОВЫ ФОРМИРОВАНИЯ ПРОЕКТА БЮДЖЕТА МЕЖЕВСКОГО МУНИЦИПАЛЬНОГО РАЙОНА: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-Прогноз социально-экономического развития Межевского муниципального района на 2019 - 2021 годы;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-Основные направления бюджетной и налоговой политики;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-Муниципальные программы (изменения в них);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 xml:space="preserve">-Проект Закона Костромской области «Об областном бюджете на 2019 год и плановый период 2020 и 2021 годов» </w:t>
      </w:r>
    </w:p>
    <w:p w:rsidR="00F704C2" w:rsidRPr="00F704C2" w:rsidRDefault="00F704C2" w:rsidP="00F704C2">
      <w:pPr>
        <w:jc w:val="both"/>
        <w:rPr>
          <w:b/>
          <w:sz w:val="16"/>
          <w:szCs w:val="16"/>
        </w:rPr>
      </w:pPr>
      <w:r w:rsidRPr="00F704C2">
        <w:rPr>
          <w:sz w:val="16"/>
          <w:szCs w:val="16"/>
        </w:rPr>
        <w:t xml:space="preserve">      </w:t>
      </w:r>
    </w:p>
    <w:p w:rsidR="00F704C2" w:rsidRPr="00F704C2" w:rsidRDefault="00F704C2" w:rsidP="00F704C2">
      <w:pPr>
        <w:pStyle w:val="a5"/>
        <w:keepNext/>
        <w:jc w:val="center"/>
        <w:rPr>
          <w:rFonts w:ascii="Times New Roman" w:hAnsi="Times New Roman"/>
          <w:color w:val="auto"/>
          <w:sz w:val="16"/>
          <w:szCs w:val="16"/>
        </w:rPr>
      </w:pPr>
      <w:r w:rsidRPr="00F704C2">
        <w:rPr>
          <w:rFonts w:ascii="Times New Roman" w:hAnsi="Times New Roman"/>
          <w:color w:val="auto"/>
          <w:sz w:val="16"/>
          <w:szCs w:val="16"/>
        </w:rPr>
        <w:t>Параметры бюджета Межевского муниципального района Костромской области</w:t>
      </w:r>
      <w:r w:rsidRPr="00F704C2">
        <w:rPr>
          <w:rFonts w:ascii="Times New Roman" w:hAnsi="Times New Roman"/>
          <w:sz w:val="16"/>
          <w:szCs w:val="16"/>
        </w:rPr>
        <w:t xml:space="preserve"> </w:t>
      </w:r>
      <w:r w:rsidRPr="00F704C2">
        <w:rPr>
          <w:rFonts w:ascii="Times New Roman" w:hAnsi="Times New Roman"/>
          <w:color w:val="auto"/>
          <w:sz w:val="16"/>
          <w:szCs w:val="16"/>
        </w:rPr>
        <w:t>на 2019 год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color w:val="0000FF"/>
          <w:sz w:val="16"/>
          <w:szCs w:val="16"/>
        </w:rPr>
        <w:t xml:space="preserve">   </w:t>
      </w:r>
      <w:r w:rsidRPr="00F704C2">
        <w:rPr>
          <w:sz w:val="16"/>
          <w:szCs w:val="16"/>
        </w:rPr>
        <w:t>С учетом дополнений, изменений в решение от 30 ноября 2018 года № 269 сформированы основные параметры бюджета муниципального района на 2019 год. Данные приведены в таблице.</w:t>
      </w:r>
    </w:p>
    <w:p w:rsidR="00F704C2" w:rsidRPr="00F704C2" w:rsidRDefault="00F704C2" w:rsidP="00F704C2">
      <w:pPr>
        <w:jc w:val="right"/>
        <w:rPr>
          <w:sz w:val="16"/>
          <w:szCs w:val="16"/>
        </w:rPr>
      </w:pPr>
      <w:r w:rsidRPr="00F704C2">
        <w:rPr>
          <w:sz w:val="16"/>
          <w:szCs w:val="16"/>
        </w:rPr>
        <w:t>Таблица № 1 (тыс. руб.)</w:t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8"/>
        <w:gridCol w:w="2115"/>
        <w:gridCol w:w="1874"/>
        <w:gridCol w:w="2483"/>
      </w:tblGrid>
      <w:tr w:rsidR="00F704C2" w:rsidRPr="00F704C2" w:rsidTr="005C38D8">
        <w:trPr>
          <w:trHeight w:val="297"/>
        </w:trPr>
        <w:tc>
          <w:tcPr>
            <w:tcW w:w="301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115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на 2019 год в решении от 30.11.2018 года № 269 </w:t>
            </w:r>
          </w:p>
        </w:tc>
        <w:tc>
          <w:tcPr>
            <w:tcW w:w="18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на 2019 год </w:t>
            </w:r>
            <w:proofErr w:type="gramStart"/>
            <w:r w:rsidRPr="00F704C2">
              <w:rPr>
                <w:sz w:val="16"/>
                <w:szCs w:val="16"/>
              </w:rPr>
              <w:t>к</w:t>
            </w:r>
            <w:proofErr w:type="gramEnd"/>
            <w:r w:rsidRPr="00F704C2">
              <w:rPr>
                <w:sz w:val="16"/>
                <w:szCs w:val="16"/>
              </w:rPr>
              <w:t xml:space="preserve"> второму чтению </w:t>
            </w:r>
          </w:p>
        </w:tc>
        <w:tc>
          <w:tcPr>
            <w:tcW w:w="2483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Дополнения, изменения</w:t>
            </w:r>
          </w:p>
        </w:tc>
      </w:tr>
      <w:tr w:rsidR="00F704C2" w:rsidRPr="00F704C2" w:rsidTr="005C38D8">
        <w:trPr>
          <w:trHeight w:val="297"/>
        </w:trPr>
        <w:tc>
          <w:tcPr>
            <w:tcW w:w="301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Доходы всего</w:t>
            </w:r>
          </w:p>
        </w:tc>
        <w:tc>
          <w:tcPr>
            <w:tcW w:w="2115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101856,722</w:t>
            </w:r>
          </w:p>
        </w:tc>
        <w:tc>
          <w:tcPr>
            <w:tcW w:w="18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89641,105</w:t>
            </w:r>
          </w:p>
        </w:tc>
        <w:tc>
          <w:tcPr>
            <w:tcW w:w="2483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-12215,617</w:t>
            </w:r>
          </w:p>
        </w:tc>
      </w:tr>
      <w:tr w:rsidR="00F704C2" w:rsidRPr="00F704C2" w:rsidTr="005C38D8">
        <w:trPr>
          <w:trHeight w:val="297"/>
        </w:trPr>
        <w:tc>
          <w:tcPr>
            <w:tcW w:w="301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 т.ч. налоговые</w:t>
            </w:r>
          </w:p>
        </w:tc>
        <w:tc>
          <w:tcPr>
            <w:tcW w:w="2115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12175,0</w:t>
            </w:r>
          </w:p>
        </w:tc>
        <w:tc>
          <w:tcPr>
            <w:tcW w:w="18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13510,0</w:t>
            </w:r>
          </w:p>
        </w:tc>
        <w:tc>
          <w:tcPr>
            <w:tcW w:w="2483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+1335,0</w:t>
            </w:r>
          </w:p>
        </w:tc>
      </w:tr>
      <w:tr w:rsidR="00F704C2" w:rsidRPr="00F704C2" w:rsidTr="005C38D8">
        <w:trPr>
          <w:trHeight w:val="297"/>
        </w:trPr>
        <w:tc>
          <w:tcPr>
            <w:tcW w:w="301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       неналоговые</w:t>
            </w:r>
          </w:p>
        </w:tc>
        <w:tc>
          <w:tcPr>
            <w:tcW w:w="2115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6775,0</w:t>
            </w:r>
          </w:p>
        </w:tc>
        <w:tc>
          <w:tcPr>
            <w:tcW w:w="18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7335,0</w:t>
            </w:r>
          </w:p>
        </w:tc>
        <w:tc>
          <w:tcPr>
            <w:tcW w:w="2483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+560,0</w:t>
            </w:r>
          </w:p>
        </w:tc>
      </w:tr>
      <w:tr w:rsidR="00F704C2" w:rsidRPr="00F704C2" w:rsidTr="005C38D8">
        <w:trPr>
          <w:trHeight w:val="297"/>
        </w:trPr>
        <w:tc>
          <w:tcPr>
            <w:tcW w:w="301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       безвозмездные  поступления </w:t>
            </w:r>
          </w:p>
        </w:tc>
        <w:tc>
          <w:tcPr>
            <w:tcW w:w="2115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82906,722</w:t>
            </w:r>
          </w:p>
        </w:tc>
        <w:tc>
          <w:tcPr>
            <w:tcW w:w="18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68796,105</w:t>
            </w:r>
          </w:p>
        </w:tc>
        <w:tc>
          <w:tcPr>
            <w:tcW w:w="2483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-14110,617</w:t>
            </w:r>
          </w:p>
        </w:tc>
      </w:tr>
      <w:tr w:rsidR="00F704C2" w:rsidRPr="00F704C2" w:rsidTr="005C38D8">
        <w:trPr>
          <w:trHeight w:val="297"/>
        </w:trPr>
        <w:tc>
          <w:tcPr>
            <w:tcW w:w="301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Расходы всего</w:t>
            </w:r>
          </w:p>
        </w:tc>
        <w:tc>
          <w:tcPr>
            <w:tcW w:w="2115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102804,222</w:t>
            </w:r>
          </w:p>
        </w:tc>
        <w:tc>
          <w:tcPr>
            <w:tcW w:w="18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90588,605</w:t>
            </w:r>
          </w:p>
        </w:tc>
        <w:tc>
          <w:tcPr>
            <w:tcW w:w="2483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-12215,617</w:t>
            </w:r>
          </w:p>
        </w:tc>
      </w:tr>
      <w:tr w:rsidR="00F704C2" w:rsidRPr="00F704C2" w:rsidTr="005C38D8">
        <w:trPr>
          <w:trHeight w:val="315"/>
        </w:trPr>
        <w:tc>
          <w:tcPr>
            <w:tcW w:w="301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Дефицит</w:t>
            </w:r>
          </w:p>
        </w:tc>
        <w:tc>
          <w:tcPr>
            <w:tcW w:w="2115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947,5</w:t>
            </w:r>
          </w:p>
        </w:tc>
        <w:tc>
          <w:tcPr>
            <w:tcW w:w="18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947,5</w:t>
            </w:r>
          </w:p>
        </w:tc>
        <w:tc>
          <w:tcPr>
            <w:tcW w:w="2483" w:type="dxa"/>
            <w:shd w:val="clear" w:color="auto" w:fill="auto"/>
          </w:tcPr>
          <w:p w:rsidR="00F704C2" w:rsidRPr="00F704C2" w:rsidRDefault="00F704C2" w:rsidP="005C38D8">
            <w:pPr>
              <w:ind w:right="204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</w:tbl>
    <w:p w:rsidR="00F704C2" w:rsidRPr="00F704C2" w:rsidRDefault="00F704C2" w:rsidP="00F704C2">
      <w:pPr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b/>
          <w:sz w:val="16"/>
          <w:szCs w:val="16"/>
        </w:rPr>
      </w:pPr>
    </w:p>
    <w:p w:rsidR="00F704C2" w:rsidRPr="00F704C2" w:rsidRDefault="00F704C2" w:rsidP="00F704C2">
      <w:pPr>
        <w:jc w:val="center"/>
        <w:rPr>
          <w:b/>
          <w:sz w:val="16"/>
          <w:szCs w:val="16"/>
        </w:rPr>
      </w:pPr>
      <w:r w:rsidRPr="00F704C2">
        <w:rPr>
          <w:b/>
          <w:sz w:val="16"/>
          <w:szCs w:val="16"/>
        </w:rPr>
        <w:t>Сравнительная характеристика отдельных параметров бюджета на 2019 год во 2 чтении относительно первого чтения:</w:t>
      </w:r>
    </w:p>
    <w:p w:rsidR="00F704C2" w:rsidRPr="00F704C2" w:rsidRDefault="00F704C2" w:rsidP="00F704C2">
      <w:pPr>
        <w:jc w:val="both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1862"/>
        <w:gridCol w:w="1908"/>
        <w:gridCol w:w="1574"/>
        <w:gridCol w:w="2082"/>
      </w:tblGrid>
      <w:tr w:rsidR="00F704C2" w:rsidRPr="00F704C2" w:rsidTr="005C38D8">
        <w:trPr>
          <w:trHeight w:val="922"/>
        </w:trPr>
        <w:tc>
          <w:tcPr>
            <w:tcW w:w="2145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2019 год, 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(1 чтение)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тыс. руб.</w:t>
            </w:r>
          </w:p>
        </w:tc>
        <w:tc>
          <w:tcPr>
            <w:tcW w:w="190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2019 год, 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(2 чтение)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тыс. руб.</w:t>
            </w:r>
          </w:p>
        </w:tc>
        <w:tc>
          <w:tcPr>
            <w:tcW w:w="1574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  прирост +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  снижение –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тыс. руб. 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704C2">
                <w:rPr>
                  <w:sz w:val="16"/>
                  <w:szCs w:val="16"/>
                </w:rPr>
                <w:t>2019 г</w:t>
              </w:r>
            </w:smartTag>
            <w:r w:rsidRPr="00F704C2">
              <w:rPr>
                <w:sz w:val="16"/>
                <w:szCs w:val="16"/>
              </w:rPr>
              <w:t>.</w:t>
            </w:r>
          </w:p>
        </w:tc>
        <w:tc>
          <w:tcPr>
            <w:tcW w:w="208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% соотношения </w:t>
            </w:r>
          </w:p>
        </w:tc>
      </w:tr>
      <w:tr w:rsidR="00F704C2" w:rsidRPr="00F704C2" w:rsidTr="005C38D8">
        <w:tc>
          <w:tcPr>
            <w:tcW w:w="214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Доходы</w:t>
            </w:r>
          </w:p>
        </w:tc>
        <w:tc>
          <w:tcPr>
            <w:tcW w:w="18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101856,722</w:t>
            </w:r>
          </w:p>
        </w:tc>
        <w:tc>
          <w:tcPr>
            <w:tcW w:w="190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89641,105</w:t>
            </w:r>
          </w:p>
        </w:tc>
        <w:tc>
          <w:tcPr>
            <w:tcW w:w="15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-12215,617</w:t>
            </w:r>
          </w:p>
        </w:tc>
        <w:tc>
          <w:tcPr>
            <w:tcW w:w="208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88,0</w:t>
            </w:r>
          </w:p>
        </w:tc>
      </w:tr>
      <w:tr w:rsidR="00F704C2" w:rsidRPr="00F704C2" w:rsidTr="005C38D8">
        <w:tc>
          <w:tcPr>
            <w:tcW w:w="214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в т.ч. безвозмездные</w:t>
            </w:r>
          </w:p>
        </w:tc>
        <w:tc>
          <w:tcPr>
            <w:tcW w:w="18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82906,722</w:t>
            </w:r>
          </w:p>
        </w:tc>
        <w:tc>
          <w:tcPr>
            <w:tcW w:w="190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68796,105</w:t>
            </w:r>
          </w:p>
        </w:tc>
        <w:tc>
          <w:tcPr>
            <w:tcW w:w="15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-14110,617</w:t>
            </w:r>
          </w:p>
        </w:tc>
        <w:tc>
          <w:tcPr>
            <w:tcW w:w="208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83,0</w:t>
            </w:r>
          </w:p>
        </w:tc>
      </w:tr>
      <w:tr w:rsidR="00F704C2" w:rsidRPr="00F704C2" w:rsidTr="005C38D8">
        <w:tc>
          <w:tcPr>
            <w:tcW w:w="214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Расходы</w:t>
            </w:r>
          </w:p>
        </w:tc>
        <w:tc>
          <w:tcPr>
            <w:tcW w:w="18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102804,222</w:t>
            </w:r>
          </w:p>
        </w:tc>
        <w:tc>
          <w:tcPr>
            <w:tcW w:w="190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90588,605</w:t>
            </w:r>
          </w:p>
        </w:tc>
        <w:tc>
          <w:tcPr>
            <w:tcW w:w="15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-12215,617</w:t>
            </w:r>
          </w:p>
        </w:tc>
        <w:tc>
          <w:tcPr>
            <w:tcW w:w="208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88,1</w:t>
            </w:r>
          </w:p>
        </w:tc>
      </w:tr>
      <w:tr w:rsidR="00F704C2" w:rsidRPr="00F704C2" w:rsidTr="005C38D8">
        <w:tc>
          <w:tcPr>
            <w:tcW w:w="214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Дефицит</w:t>
            </w:r>
          </w:p>
        </w:tc>
        <w:tc>
          <w:tcPr>
            <w:tcW w:w="18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947,5</w:t>
            </w:r>
          </w:p>
        </w:tc>
        <w:tc>
          <w:tcPr>
            <w:tcW w:w="190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947,5</w:t>
            </w:r>
          </w:p>
        </w:tc>
        <w:tc>
          <w:tcPr>
            <w:tcW w:w="1574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</w:t>
            </w:r>
          </w:p>
        </w:tc>
        <w:tc>
          <w:tcPr>
            <w:tcW w:w="208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</w:tbl>
    <w:p w:rsidR="00F704C2" w:rsidRPr="00F704C2" w:rsidRDefault="00F704C2" w:rsidP="00F704C2">
      <w:pPr>
        <w:jc w:val="center"/>
        <w:rPr>
          <w:b/>
          <w:sz w:val="16"/>
          <w:szCs w:val="16"/>
        </w:rPr>
      </w:pPr>
      <w:r w:rsidRPr="00F704C2">
        <w:rPr>
          <w:b/>
          <w:sz w:val="16"/>
          <w:szCs w:val="16"/>
        </w:rPr>
        <w:t xml:space="preserve">Доходы бюджета Межевского муниципального района Костромской области на 2019 год </w:t>
      </w:r>
      <w:proofErr w:type="gramStart"/>
      <w:r w:rsidRPr="00F704C2">
        <w:rPr>
          <w:b/>
          <w:sz w:val="16"/>
          <w:szCs w:val="16"/>
        </w:rPr>
        <w:t>к</w:t>
      </w:r>
      <w:proofErr w:type="gramEnd"/>
      <w:r w:rsidRPr="00F704C2">
        <w:rPr>
          <w:b/>
          <w:sz w:val="16"/>
          <w:szCs w:val="16"/>
        </w:rPr>
        <w:t xml:space="preserve"> второму чтению:</w:t>
      </w:r>
    </w:p>
    <w:p w:rsidR="00F704C2" w:rsidRPr="00F704C2" w:rsidRDefault="00F704C2" w:rsidP="00F704C2">
      <w:pPr>
        <w:jc w:val="center"/>
        <w:rPr>
          <w:sz w:val="16"/>
          <w:szCs w:val="16"/>
        </w:rPr>
      </w:pPr>
    </w:p>
    <w:p w:rsidR="00F704C2" w:rsidRPr="00F704C2" w:rsidRDefault="00F704C2" w:rsidP="00F704C2">
      <w:pPr>
        <w:rPr>
          <w:sz w:val="16"/>
          <w:szCs w:val="16"/>
        </w:rPr>
      </w:pPr>
      <w:r w:rsidRPr="00F704C2">
        <w:rPr>
          <w:sz w:val="16"/>
          <w:szCs w:val="16"/>
        </w:rPr>
        <w:t>Налоговые   доходы                   13510,0</w:t>
      </w:r>
      <w:r w:rsidRPr="00F704C2">
        <w:rPr>
          <w:color w:val="0000FF"/>
          <w:sz w:val="16"/>
          <w:szCs w:val="16"/>
        </w:rPr>
        <w:t xml:space="preserve"> </w:t>
      </w:r>
      <w:r w:rsidRPr="00F704C2">
        <w:rPr>
          <w:sz w:val="16"/>
          <w:szCs w:val="16"/>
        </w:rPr>
        <w:t>тыс. руб.                           15,1%</w:t>
      </w:r>
    </w:p>
    <w:p w:rsidR="00F704C2" w:rsidRPr="00F704C2" w:rsidRDefault="00F704C2" w:rsidP="00F704C2">
      <w:pPr>
        <w:rPr>
          <w:sz w:val="16"/>
          <w:szCs w:val="16"/>
        </w:rPr>
      </w:pPr>
      <w:r w:rsidRPr="00F704C2">
        <w:rPr>
          <w:sz w:val="16"/>
          <w:szCs w:val="16"/>
        </w:rPr>
        <w:t>Неналоговые  доходы                7335,0</w:t>
      </w:r>
      <w:r w:rsidRPr="00F704C2">
        <w:rPr>
          <w:color w:val="0000FF"/>
          <w:sz w:val="16"/>
          <w:szCs w:val="16"/>
        </w:rPr>
        <w:t xml:space="preserve"> </w:t>
      </w:r>
      <w:r w:rsidRPr="00F704C2">
        <w:rPr>
          <w:sz w:val="16"/>
          <w:szCs w:val="16"/>
        </w:rPr>
        <w:t>тыс. руб.                               8,1%</w:t>
      </w:r>
    </w:p>
    <w:p w:rsidR="00F704C2" w:rsidRPr="00F704C2" w:rsidRDefault="00F704C2" w:rsidP="00F704C2">
      <w:pPr>
        <w:rPr>
          <w:sz w:val="16"/>
          <w:szCs w:val="16"/>
        </w:rPr>
      </w:pPr>
      <w:r w:rsidRPr="00F704C2">
        <w:rPr>
          <w:sz w:val="16"/>
          <w:szCs w:val="16"/>
        </w:rPr>
        <w:t>Безвозмездные поступления    68796,105 тыс. руб.                        76,8%</w:t>
      </w:r>
    </w:p>
    <w:p w:rsidR="00F704C2" w:rsidRPr="00F704C2" w:rsidRDefault="00F704C2" w:rsidP="00F704C2">
      <w:pPr>
        <w:rPr>
          <w:sz w:val="16"/>
          <w:szCs w:val="16"/>
        </w:rPr>
      </w:pPr>
    </w:p>
    <w:p w:rsidR="00F704C2" w:rsidRPr="00F704C2" w:rsidRDefault="00F704C2" w:rsidP="00F704C2">
      <w:pPr>
        <w:jc w:val="center"/>
        <w:rPr>
          <w:b/>
          <w:sz w:val="16"/>
          <w:szCs w:val="16"/>
        </w:rPr>
      </w:pPr>
      <w:r w:rsidRPr="00F704C2">
        <w:rPr>
          <w:b/>
          <w:sz w:val="16"/>
          <w:szCs w:val="16"/>
        </w:rPr>
        <w:t>Налоговые доходы в бюджете муниципального образования: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налоговые доходы – поступления от уплаты налогов, установленных Налоговым кодексом Российской Федерации:</w:t>
      </w:r>
    </w:p>
    <w:p w:rsidR="00F704C2" w:rsidRPr="00F704C2" w:rsidRDefault="00F704C2" w:rsidP="00F704C2">
      <w:pPr>
        <w:rPr>
          <w:sz w:val="16"/>
          <w:szCs w:val="16"/>
        </w:rPr>
      </w:pPr>
    </w:p>
    <w:p w:rsidR="00F704C2" w:rsidRPr="00F704C2" w:rsidRDefault="00F704C2" w:rsidP="00F704C2">
      <w:pPr>
        <w:jc w:val="center"/>
        <w:rPr>
          <w:rFonts w:ascii="Arial" w:hAnsi="Arial" w:cs="Arial"/>
          <w:b/>
          <w:sz w:val="16"/>
          <w:szCs w:val="16"/>
        </w:rPr>
      </w:pPr>
      <w:r w:rsidRPr="00F704C2">
        <w:rPr>
          <w:b/>
          <w:sz w:val="16"/>
          <w:szCs w:val="16"/>
        </w:rPr>
        <w:t xml:space="preserve">Виды и структура налоговых доходов бюджета 2019 года представлена в следующей таблице: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258"/>
        <w:gridCol w:w="1262"/>
        <w:gridCol w:w="1361"/>
        <w:gridCol w:w="1262"/>
      </w:tblGrid>
      <w:tr w:rsidR="00F704C2" w:rsidRPr="00F704C2" w:rsidTr="005C38D8">
        <w:tc>
          <w:tcPr>
            <w:tcW w:w="4428" w:type="dxa"/>
            <w:vMerge w:val="restart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Налоговые доходы 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2019 год (1 чтение)</w:t>
            </w:r>
          </w:p>
        </w:tc>
        <w:tc>
          <w:tcPr>
            <w:tcW w:w="2623" w:type="dxa"/>
            <w:gridSpan w:val="2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2019 год (2 чтение)</w:t>
            </w:r>
          </w:p>
        </w:tc>
      </w:tr>
      <w:tr w:rsidR="00F704C2" w:rsidRPr="00F704C2" w:rsidTr="005C38D8">
        <w:tc>
          <w:tcPr>
            <w:tcW w:w="4428" w:type="dxa"/>
            <w:vMerge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Сумма, тыс. руб.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Удельный вес, %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Сумма, тыс. руб.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Удельный вес, %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Налоги на прибыль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6500,0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57,1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7050,0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52,2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в т.ч. налог на доходы физических лиц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6500,0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57,1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7050,0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52,2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1039,0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9,1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8,9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в т.ч.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1039,0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9,1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8,9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3680,0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32,4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5100,0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37,7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в т.ч. </w:t>
            </w:r>
            <w:proofErr w:type="gramStart"/>
            <w:r w:rsidRPr="00F704C2">
              <w:rPr>
                <w:sz w:val="16"/>
                <w:szCs w:val="16"/>
              </w:rPr>
              <w:t>налоги</w:t>
            </w:r>
            <w:proofErr w:type="gramEnd"/>
            <w:r w:rsidRPr="00F704C2">
              <w:rPr>
                <w:sz w:val="16"/>
                <w:szCs w:val="16"/>
              </w:rPr>
              <w:t xml:space="preserve"> взимаемые в связи с применением упрощенной системы налогообложения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1500,0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13,2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22,2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единый налог на вмененный доход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2000,0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17,6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1800,0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13,3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proofErr w:type="gramStart"/>
            <w:r w:rsidRPr="00F704C2">
              <w:rPr>
                <w:sz w:val="16"/>
                <w:szCs w:val="16"/>
              </w:rPr>
              <w:t>налог</w:t>
            </w:r>
            <w:proofErr w:type="gramEnd"/>
            <w:r w:rsidRPr="00F704C2">
              <w:rPr>
                <w:sz w:val="16"/>
                <w:szCs w:val="16"/>
              </w:rPr>
              <w:t xml:space="preserve"> взимаемый с применением патентной системы налогообложения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180,0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1,6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2,2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160,0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1,4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160,0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1,2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Итого налоговые доходы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11379,0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13510,0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</w:tr>
    </w:tbl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b/>
          <w:sz w:val="16"/>
          <w:szCs w:val="16"/>
        </w:rPr>
      </w:pPr>
      <w:r w:rsidRPr="00F704C2">
        <w:rPr>
          <w:b/>
          <w:sz w:val="16"/>
          <w:szCs w:val="16"/>
        </w:rPr>
        <w:t xml:space="preserve">Изменения структуры налоговых доходов бюджета на 2019 год представлены в следующей таблице: </w:t>
      </w:r>
    </w:p>
    <w:p w:rsidR="00F704C2" w:rsidRPr="00F704C2" w:rsidRDefault="00F704C2" w:rsidP="00F704C2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5"/>
        <w:gridCol w:w="1260"/>
        <w:gridCol w:w="1263"/>
        <w:gridCol w:w="1258"/>
        <w:gridCol w:w="1262"/>
        <w:gridCol w:w="1361"/>
        <w:gridCol w:w="1262"/>
      </w:tblGrid>
      <w:tr w:rsidR="00F704C2" w:rsidRPr="00F704C2" w:rsidTr="005C38D8">
        <w:tc>
          <w:tcPr>
            <w:tcW w:w="1905" w:type="dxa"/>
            <w:vMerge w:val="restart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Налоговые доходы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Изменения </w:t>
            </w:r>
          </w:p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 чтение к 1 чтению по сумме, тыс. руб.</w:t>
            </w:r>
          </w:p>
          <w:p w:rsidR="00F704C2" w:rsidRPr="00F704C2" w:rsidRDefault="00F704C2" w:rsidP="005C38D8">
            <w:pPr>
              <w:rPr>
                <w:sz w:val="16"/>
                <w:szCs w:val="16"/>
              </w:rPr>
            </w:pPr>
          </w:p>
        </w:tc>
        <w:tc>
          <w:tcPr>
            <w:tcW w:w="1263" w:type="dxa"/>
            <w:vMerge w:val="restart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Изменения 2 чтение к 1 чтению по удельному весу</w:t>
            </w:r>
          </w:p>
          <w:p w:rsidR="00F704C2" w:rsidRPr="00F704C2" w:rsidRDefault="00F704C2" w:rsidP="005C38D8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2019 год (1 чтение)</w:t>
            </w:r>
          </w:p>
        </w:tc>
        <w:tc>
          <w:tcPr>
            <w:tcW w:w="2623" w:type="dxa"/>
            <w:gridSpan w:val="2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2019 год (2 чтение)</w:t>
            </w:r>
          </w:p>
        </w:tc>
      </w:tr>
      <w:tr w:rsidR="00F704C2" w:rsidRPr="00F704C2" w:rsidTr="005C38D8">
        <w:tc>
          <w:tcPr>
            <w:tcW w:w="1905" w:type="dxa"/>
            <w:vMerge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</w:p>
        </w:tc>
        <w:tc>
          <w:tcPr>
            <w:tcW w:w="1263" w:type="dxa"/>
            <w:vMerge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Сумма, тыс. руб.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Удельный вес, %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Сумма, тыс. руб.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Удельный вес, %</w:t>
            </w:r>
          </w:p>
        </w:tc>
      </w:tr>
      <w:tr w:rsidR="00F704C2" w:rsidRPr="00F704C2" w:rsidTr="005C38D8">
        <w:tc>
          <w:tcPr>
            <w:tcW w:w="190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lastRenderedPageBreak/>
              <w:t>Налоги на прибыль</w:t>
            </w:r>
          </w:p>
        </w:tc>
        <w:tc>
          <w:tcPr>
            <w:tcW w:w="1260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+1035,0</w:t>
            </w:r>
          </w:p>
        </w:tc>
        <w:tc>
          <w:tcPr>
            <w:tcW w:w="1263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+2,8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6015,0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49,4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7050,0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52,2</w:t>
            </w:r>
          </w:p>
        </w:tc>
      </w:tr>
      <w:tr w:rsidR="00F704C2" w:rsidRPr="00F704C2" w:rsidTr="005C38D8">
        <w:tc>
          <w:tcPr>
            <w:tcW w:w="190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в т.ч. налог на доходы физических лиц</w:t>
            </w:r>
          </w:p>
        </w:tc>
        <w:tc>
          <w:tcPr>
            <w:tcW w:w="1260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+1035,0</w:t>
            </w:r>
          </w:p>
        </w:tc>
        <w:tc>
          <w:tcPr>
            <w:tcW w:w="1263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+2,8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6015,0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49,4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7050,0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52,2</w:t>
            </w:r>
          </w:p>
        </w:tc>
      </w:tr>
      <w:tr w:rsidR="00F704C2" w:rsidRPr="00F704C2" w:rsidTr="005C38D8">
        <w:tc>
          <w:tcPr>
            <w:tcW w:w="190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-1,0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9,9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8,9</w:t>
            </w:r>
          </w:p>
        </w:tc>
      </w:tr>
      <w:tr w:rsidR="00F704C2" w:rsidRPr="00F704C2" w:rsidTr="005C38D8">
        <w:tc>
          <w:tcPr>
            <w:tcW w:w="190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в т.ч.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-1,0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9,9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8,9</w:t>
            </w:r>
          </w:p>
        </w:tc>
      </w:tr>
      <w:tr w:rsidR="00F704C2" w:rsidRPr="00F704C2" w:rsidTr="005C38D8">
        <w:tc>
          <w:tcPr>
            <w:tcW w:w="190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60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+300,0</w:t>
            </w:r>
          </w:p>
        </w:tc>
        <w:tc>
          <w:tcPr>
            <w:tcW w:w="1263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-1,7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4800,0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39,4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5100,0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37,7</w:t>
            </w:r>
          </w:p>
        </w:tc>
      </w:tr>
      <w:tr w:rsidR="00F704C2" w:rsidRPr="00F704C2" w:rsidTr="005C38D8">
        <w:tc>
          <w:tcPr>
            <w:tcW w:w="190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в т.ч. </w:t>
            </w:r>
            <w:proofErr w:type="gramStart"/>
            <w:r w:rsidRPr="00F704C2">
              <w:rPr>
                <w:sz w:val="16"/>
                <w:szCs w:val="16"/>
              </w:rPr>
              <w:t>налоги</w:t>
            </w:r>
            <w:proofErr w:type="gramEnd"/>
            <w:r w:rsidRPr="00F704C2">
              <w:rPr>
                <w:sz w:val="16"/>
                <w:szCs w:val="16"/>
              </w:rPr>
              <w:t xml:space="preserve"> взимаемые в связи с применением упрощенной системы налогообложения</w:t>
            </w:r>
          </w:p>
        </w:tc>
        <w:tc>
          <w:tcPr>
            <w:tcW w:w="1260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+300,0</w:t>
            </w:r>
          </w:p>
        </w:tc>
        <w:tc>
          <w:tcPr>
            <w:tcW w:w="1263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2700,0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22,2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22,2</w:t>
            </w:r>
          </w:p>
        </w:tc>
      </w:tr>
      <w:tr w:rsidR="00F704C2" w:rsidRPr="00F704C2" w:rsidTr="005C38D8">
        <w:tc>
          <w:tcPr>
            <w:tcW w:w="190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единый налог на вмененный доход</w:t>
            </w:r>
          </w:p>
        </w:tc>
        <w:tc>
          <w:tcPr>
            <w:tcW w:w="1260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-1,4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1800,0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14,7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1800,0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13,3</w:t>
            </w:r>
          </w:p>
        </w:tc>
      </w:tr>
      <w:tr w:rsidR="00F704C2" w:rsidRPr="00F704C2" w:rsidTr="005C38D8">
        <w:tc>
          <w:tcPr>
            <w:tcW w:w="190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proofErr w:type="gramStart"/>
            <w:r w:rsidRPr="00F704C2">
              <w:rPr>
                <w:sz w:val="16"/>
                <w:szCs w:val="16"/>
              </w:rPr>
              <w:t>налог</w:t>
            </w:r>
            <w:proofErr w:type="gramEnd"/>
            <w:r w:rsidRPr="00F704C2">
              <w:rPr>
                <w:sz w:val="16"/>
                <w:szCs w:val="16"/>
              </w:rPr>
              <w:t xml:space="preserve"> взимаемый с применением патентной системы налогообложения</w:t>
            </w:r>
          </w:p>
        </w:tc>
        <w:tc>
          <w:tcPr>
            <w:tcW w:w="1260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-0,3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2,5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2,2</w:t>
            </w:r>
          </w:p>
        </w:tc>
      </w:tr>
      <w:tr w:rsidR="00F704C2" w:rsidRPr="00F704C2" w:rsidTr="005C38D8">
        <w:tc>
          <w:tcPr>
            <w:tcW w:w="190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60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-0,1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160,0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1,3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160,0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1,2</w:t>
            </w:r>
          </w:p>
        </w:tc>
      </w:tr>
      <w:tr w:rsidR="00F704C2" w:rsidRPr="00F704C2" w:rsidTr="005C38D8">
        <w:tc>
          <w:tcPr>
            <w:tcW w:w="1905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Итого налоговые доходы</w:t>
            </w:r>
          </w:p>
        </w:tc>
        <w:tc>
          <w:tcPr>
            <w:tcW w:w="1260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+1335,0</w:t>
            </w:r>
          </w:p>
        </w:tc>
        <w:tc>
          <w:tcPr>
            <w:tcW w:w="1263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12175,0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13510,0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</w:tr>
    </w:tbl>
    <w:p w:rsidR="00F704C2" w:rsidRPr="00F704C2" w:rsidRDefault="00F704C2" w:rsidP="00F704C2">
      <w:pPr>
        <w:jc w:val="center"/>
        <w:rPr>
          <w:sz w:val="16"/>
          <w:szCs w:val="16"/>
        </w:rPr>
      </w:pPr>
    </w:p>
    <w:p w:rsidR="00F704C2" w:rsidRPr="00F704C2" w:rsidRDefault="00F704C2" w:rsidP="00F704C2">
      <w:pPr>
        <w:jc w:val="center"/>
        <w:rPr>
          <w:b/>
          <w:sz w:val="16"/>
          <w:szCs w:val="16"/>
        </w:rPr>
      </w:pPr>
    </w:p>
    <w:p w:rsidR="00F704C2" w:rsidRPr="00F704C2" w:rsidRDefault="00F704C2" w:rsidP="00F704C2">
      <w:pPr>
        <w:jc w:val="center"/>
        <w:rPr>
          <w:b/>
          <w:sz w:val="16"/>
          <w:szCs w:val="16"/>
        </w:rPr>
      </w:pPr>
      <w:r w:rsidRPr="00F704C2">
        <w:rPr>
          <w:b/>
          <w:sz w:val="16"/>
          <w:szCs w:val="16"/>
        </w:rPr>
        <w:t>Объем и структура неналоговых доходов бюджета на 2019 год: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неналоговые доходы – поступления от уплаты других сборов установленных законодательством Российской Федерации, а так же штрафов за нарушение законодательства.</w:t>
      </w:r>
    </w:p>
    <w:p w:rsidR="00F704C2" w:rsidRPr="00F704C2" w:rsidRDefault="00F704C2" w:rsidP="00F704C2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258"/>
        <w:gridCol w:w="1262"/>
        <w:gridCol w:w="1361"/>
        <w:gridCol w:w="1262"/>
      </w:tblGrid>
      <w:tr w:rsidR="00F704C2" w:rsidRPr="00F704C2" w:rsidTr="005C38D8">
        <w:tc>
          <w:tcPr>
            <w:tcW w:w="4428" w:type="dxa"/>
            <w:vMerge w:val="restart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Неналоговые доходы 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2019 год (1 чтение)</w:t>
            </w:r>
          </w:p>
        </w:tc>
        <w:tc>
          <w:tcPr>
            <w:tcW w:w="2623" w:type="dxa"/>
            <w:gridSpan w:val="2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2019 год (2 чтение)</w:t>
            </w:r>
          </w:p>
        </w:tc>
      </w:tr>
      <w:tr w:rsidR="00F704C2" w:rsidRPr="00F704C2" w:rsidTr="005C38D8">
        <w:tc>
          <w:tcPr>
            <w:tcW w:w="4428" w:type="dxa"/>
            <w:vMerge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Сумма, тыс. руб.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Удельный вес, %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Сумма, тыс. руб.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Удельный вес, %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11,8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10,9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35,0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0,5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45,0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0,6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5200,0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76,8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5600,0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76,4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2,0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1,9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600,0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8,9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750,0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10,2</w:t>
            </w:r>
          </w:p>
        </w:tc>
      </w:tr>
      <w:tr w:rsidR="00F704C2" w:rsidRPr="00F704C2" w:rsidTr="005C38D8">
        <w:tc>
          <w:tcPr>
            <w:tcW w:w="442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Итого неналоговые доходы</w:t>
            </w:r>
          </w:p>
        </w:tc>
        <w:tc>
          <w:tcPr>
            <w:tcW w:w="1258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6775,0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  <w:tc>
          <w:tcPr>
            <w:tcW w:w="1361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7335,0</w:t>
            </w:r>
          </w:p>
        </w:tc>
        <w:tc>
          <w:tcPr>
            <w:tcW w:w="1262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</w:tr>
    </w:tbl>
    <w:p w:rsidR="00F704C2" w:rsidRPr="00F704C2" w:rsidRDefault="00F704C2" w:rsidP="00F704C2">
      <w:pPr>
        <w:jc w:val="center"/>
        <w:rPr>
          <w:b/>
          <w:sz w:val="16"/>
          <w:szCs w:val="16"/>
        </w:rPr>
      </w:pPr>
    </w:p>
    <w:p w:rsidR="00F704C2" w:rsidRPr="00F704C2" w:rsidRDefault="00F704C2" w:rsidP="00F704C2">
      <w:pPr>
        <w:jc w:val="center"/>
        <w:rPr>
          <w:b/>
          <w:sz w:val="16"/>
          <w:szCs w:val="16"/>
        </w:rPr>
      </w:pPr>
      <w:r w:rsidRPr="00F704C2">
        <w:rPr>
          <w:b/>
          <w:sz w:val="16"/>
          <w:szCs w:val="16"/>
        </w:rPr>
        <w:t>Объем и виды безвозмездных поступлений: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безвозмездные поступления – поступления от других бюджетов (межбюджетные трансферты), организаций, граждан (кроме налоговых и неналоговых доходов).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Дотации (от лат. «</w:t>
      </w:r>
      <w:proofErr w:type="spellStart"/>
      <w:r w:rsidRPr="00F704C2">
        <w:rPr>
          <w:sz w:val="16"/>
          <w:szCs w:val="16"/>
          <w:lang w:val="en-US"/>
        </w:rPr>
        <w:t>dotatio</w:t>
      </w:r>
      <w:proofErr w:type="spellEnd"/>
      <w:r w:rsidRPr="00F704C2">
        <w:rPr>
          <w:sz w:val="16"/>
          <w:szCs w:val="16"/>
        </w:rPr>
        <w:t>» - дар) – это межбюджетные трансферты, предоставляемые на безвозмездной и безвозвратной основе для поддержки местных бюджетов при недостаточности их налоговых и неналоговых доходов без определения конкретной цели, направлений и (или) условий их использования.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Субвенции (от лат. «</w:t>
      </w:r>
      <w:proofErr w:type="spellStart"/>
      <w:r w:rsidRPr="00F704C2">
        <w:rPr>
          <w:sz w:val="16"/>
          <w:szCs w:val="16"/>
          <w:lang w:val="en-US"/>
        </w:rPr>
        <w:t>subvenire</w:t>
      </w:r>
      <w:proofErr w:type="spellEnd"/>
      <w:r w:rsidRPr="00F704C2">
        <w:rPr>
          <w:sz w:val="16"/>
          <w:szCs w:val="16"/>
        </w:rPr>
        <w:t>» - приходить на помощь) - межбюджетные трансферты, предоставляемые из бюджета одного уровня бюджету другого уровня на исполнение переданных государственных полномочий соответствующим органам местного самоуправления в установленном порядке.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 xml:space="preserve">Субсидии – межбюджетные трансферты,  предоставляемые из бюджета одного уровня бюджету другого уровня в целях </w:t>
      </w:r>
      <w:proofErr w:type="spellStart"/>
      <w:r w:rsidRPr="00F704C2">
        <w:rPr>
          <w:sz w:val="16"/>
          <w:szCs w:val="16"/>
        </w:rPr>
        <w:t>софинансирования</w:t>
      </w:r>
      <w:proofErr w:type="spellEnd"/>
      <w:r w:rsidRPr="00F704C2">
        <w:rPr>
          <w:sz w:val="16"/>
          <w:szCs w:val="16"/>
        </w:rPr>
        <w:t xml:space="preserve"> расходных обязательств по выполнению полномочий органов местного самоуправления по вопросам местного значения.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Иные межбюджетные трансферты предоставляются на условиях определенных двумя сторонами.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rFonts w:ascii="Arial" w:hAnsi="Arial" w:cs="Arial"/>
          <w:sz w:val="16"/>
          <w:szCs w:val="16"/>
        </w:rPr>
      </w:pPr>
      <w:r w:rsidRPr="00F704C2">
        <w:rPr>
          <w:b/>
          <w:sz w:val="16"/>
          <w:szCs w:val="16"/>
        </w:rPr>
        <w:t>Сравнительный анализ безвозмездных поступлений бюджета района по плановым назначениям 2019 года (второе чтение) к плановым назначениям бюджета 2019 года (первое чтение) представлен в таблице:</w:t>
      </w:r>
      <w:r w:rsidRPr="00F704C2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1622"/>
        <w:gridCol w:w="1926"/>
        <w:gridCol w:w="1599"/>
        <w:gridCol w:w="1976"/>
      </w:tblGrid>
      <w:tr w:rsidR="00F704C2" w:rsidRPr="00F704C2" w:rsidTr="005C38D8">
        <w:tc>
          <w:tcPr>
            <w:tcW w:w="244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622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2019 год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(1 чтение),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тыс. руб.</w:t>
            </w:r>
          </w:p>
        </w:tc>
        <w:tc>
          <w:tcPr>
            <w:tcW w:w="192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2019 год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(2 чтение),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тыс. руб.</w:t>
            </w:r>
          </w:p>
        </w:tc>
        <w:tc>
          <w:tcPr>
            <w:tcW w:w="1599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прирост +;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снижение</w:t>
            </w:r>
            <w:proofErr w:type="gramStart"/>
            <w:r w:rsidRPr="00F704C2">
              <w:rPr>
                <w:sz w:val="16"/>
                <w:szCs w:val="16"/>
              </w:rPr>
              <w:t xml:space="preserve"> -;</w:t>
            </w:r>
            <w:proofErr w:type="gramEnd"/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тыс. руб.</w:t>
            </w:r>
          </w:p>
        </w:tc>
        <w:tc>
          <w:tcPr>
            <w:tcW w:w="197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% соотношение </w:t>
            </w:r>
          </w:p>
        </w:tc>
      </w:tr>
      <w:tr w:rsidR="00F704C2" w:rsidRPr="00F704C2" w:rsidTr="005C38D8">
        <w:tc>
          <w:tcPr>
            <w:tcW w:w="244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Безвозмездные поступления: всего</w:t>
            </w:r>
          </w:p>
        </w:tc>
        <w:tc>
          <w:tcPr>
            <w:tcW w:w="1622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82906,722</w:t>
            </w:r>
          </w:p>
        </w:tc>
        <w:tc>
          <w:tcPr>
            <w:tcW w:w="192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68796,105</w:t>
            </w:r>
          </w:p>
        </w:tc>
        <w:tc>
          <w:tcPr>
            <w:tcW w:w="1599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-14110,617</w:t>
            </w:r>
          </w:p>
        </w:tc>
        <w:tc>
          <w:tcPr>
            <w:tcW w:w="197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83,0</w:t>
            </w:r>
          </w:p>
        </w:tc>
      </w:tr>
      <w:tr w:rsidR="00F704C2" w:rsidRPr="00F704C2" w:rsidTr="005C38D8">
        <w:tc>
          <w:tcPr>
            <w:tcW w:w="244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в т.ч.</w:t>
            </w:r>
          </w:p>
        </w:tc>
        <w:tc>
          <w:tcPr>
            <w:tcW w:w="1622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2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9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</w:p>
        </w:tc>
      </w:tr>
      <w:tr w:rsidR="00F704C2" w:rsidRPr="00F704C2" w:rsidTr="005C38D8">
        <w:tc>
          <w:tcPr>
            <w:tcW w:w="244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дотации</w:t>
            </w:r>
          </w:p>
        </w:tc>
        <w:tc>
          <w:tcPr>
            <w:tcW w:w="1622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30596,0</w:t>
            </w:r>
          </w:p>
        </w:tc>
        <w:tc>
          <w:tcPr>
            <w:tcW w:w="192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30596,0</w:t>
            </w:r>
          </w:p>
        </w:tc>
        <w:tc>
          <w:tcPr>
            <w:tcW w:w="1599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</w:t>
            </w:r>
          </w:p>
        </w:tc>
        <w:tc>
          <w:tcPr>
            <w:tcW w:w="197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</w:tr>
      <w:tr w:rsidR="00F704C2" w:rsidRPr="00F704C2" w:rsidTr="005C38D8">
        <w:tc>
          <w:tcPr>
            <w:tcW w:w="244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субвенции</w:t>
            </w:r>
          </w:p>
        </w:tc>
        <w:tc>
          <w:tcPr>
            <w:tcW w:w="1622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46175,922</w:t>
            </w:r>
          </w:p>
        </w:tc>
        <w:tc>
          <w:tcPr>
            <w:tcW w:w="192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32565,305</w:t>
            </w:r>
          </w:p>
        </w:tc>
        <w:tc>
          <w:tcPr>
            <w:tcW w:w="1599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-13610,617</w:t>
            </w:r>
          </w:p>
        </w:tc>
        <w:tc>
          <w:tcPr>
            <w:tcW w:w="197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70,5</w:t>
            </w:r>
          </w:p>
        </w:tc>
      </w:tr>
      <w:tr w:rsidR="00F704C2" w:rsidRPr="00F704C2" w:rsidTr="005C38D8">
        <w:tc>
          <w:tcPr>
            <w:tcW w:w="244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lastRenderedPageBreak/>
              <w:t>субсидии</w:t>
            </w:r>
          </w:p>
        </w:tc>
        <w:tc>
          <w:tcPr>
            <w:tcW w:w="1622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3314,3</w:t>
            </w:r>
          </w:p>
        </w:tc>
        <w:tc>
          <w:tcPr>
            <w:tcW w:w="192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2814,3</w:t>
            </w:r>
          </w:p>
        </w:tc>
        <w:tc>
          <w:tcPr>
            <w:tcW w:w="1599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-500,0</w:t>
            </w:r>
          </w:p>
        </w:tc>
        <w:tc>
          <w:tcPr>
            <w:tcW w:w="197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84,9</w:t>
            </w:r>
          </w:p>
        </w:tc>
      </w:tr>
      <w:tr w:rsidR="00F704C2" w:rsidRPr="00F704C2" w:rsidTr="005C38D8">
        <w:tc>
          <w:tcPr>
            <w:tcW w:w="244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622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2700,5</w:t>
            </w:r>
          </w:p>
        </w:tc>
        <w:tc>
          <w:tcPr>
            <w:tcW w:w="192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2700,5</w:t>
            </w:r>
          </w:p>
        </w:tc>
        <w:tc>
          <w:tcPr>
            <w:tcW w:w="1599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</w:t>
            </w:r>
          </w:p>
        </w:tc>
        <w:tc>
          <w:tcPr>
            <w:tcW w:w="197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</w:tr>
      <w:tr w:rsidR="00F704C2" w:rsidRPr="00F704C2" w:rsidTr="005C38D8">
        <w:tc>
          <w:tcPr>
            <w:tcW w:w="2448" w:type="dxa"/>
            <w:shd w:val="clear" w:color="auto" w:fill="auto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622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120,0</w:t>
            </w:r>
          </w:p>
        </w:tc>
        <w:tc>
          <w:tcPr>
            <w:tcW w:w="192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120,0</w:t>
            </w:r>
          </w:p>
        </w:tc>
        <w:tc>
          <w:tcPr>
            <w:tcW w:w="1599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</w:t>
            </w:r>
          </w:p>
        </w:tc>
        <w:tc>
          <w:tcPr>
            <w:tcW w:w="1976" w:type="dxa"/>
            <w:shd w:val="clear" w:color="auto" w:fill="auto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</w:tr>
    </w:tbl>
    <w:p w:rsidR="00F704C2" w:rsidRPr="00F704C2" w:rsidRDefault="00F704C2" w:rsidP="00F704C2">
      <w:pPr>
        <w:rPr>
          <w:rFonts w:ascii="Arial" w:hAnsi="Arial" w:cs="Arial"/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Характерной чертой бюджетной политики муниципального образования является повышение эффективности и результативности бюджетных ассигнований. Следуя в этом направлении необходимо повысить эффективность муниципального управления, обеспечить выполнение в полном объеме расходных обязательств, решить приоритетные задачи в условиях ограниченности ресурсов.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Расходы местного бюджета – это денежные средства, направляемые на финансовое обеспечение задач и функций местного самоуправления.</w:t>
      </w: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Расходы бюджета включают расходы на оказание государственных (муниципальных) услуг, социальное обеспечение населения, бюджетные инвестиции, предоставление межбюджетных трансфертов, обслуживание государственного (муниципального) долга.</w:t>
      </w:r>
    </w:p>
    <w:p w:rsidR="00F704C2" w:rsidRPr="00F704C2" w:rsidRDefault="00F704C2" w:rsidP="00F704C2">
      <w:pPr>
        <w:jc w:val="center"/>
        <w:rPr>
          <w:b/>
          <w:sz w:val="16"/>
          <w:szCs w:val="16"/>
        </w:rPr>
      </w:pPr>
      <w:r w:rsidRPr="00F704C2">
        <w:rPr>
          <w:b/>
          <w:sz w:val="16"/>
          <w:szCs w:val="16"/>
        </w:rPr>
        <w:t>Функциональная структура расходов бюджета:</w:t>
      </w:r>
    </w:p>
    <w:tbl>
      <w:tblPr>
        <w:tblW w:w="99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558"/>
        <w:gridCol w:w="1565"/>
        <w:gridCol w:w="1565"/>
        <w:gridCol w:w="1412"/>
        <w:gridCol w:w="1349"/>
      </w:tblGrid>
      <w:tr w:rsidR="00F704C2" w:rsidRPr="00F704C2" w:rsidTr="005C38D8">
        <w:trPr>
          <w:trHeight w:val="829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704C2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F704C2">
              <w:rPr>
                <w:sz w:val="16"/>
                <w:szCs w:val="16"/>
              </w:rPr>
              <w:t>/</w:t>
            </w:r>
            <w:proofErr w:type="spellStart"/>
            <w:r w:rsidRPr="00F704C2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558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Функциональная структура расходов</w:t>
            </w:r>
          </w:p>
        </w:tc>
        <w:tc>
          <w:tcPr>
            <w:tcW w:w="1565" w:type="dxa"/>
          </w:tcPr>
          <w:p w:rsidR="00F704C2" w:rsidRPr="00F704C2" w:rsidRDefault="00F704C2" w:rsidP="005C38D8">
            <w:pPr>
              <w:pStyle w:val="a6"/>
              <w:snapToGrid w:val="0"/>
              <w:rPr>
                <w:rFonts w:ascii="Times New Roman" w:hAnsi="Times New Roman"/>
                <w:sz w:val="16"/>
                <w:szCs w:val="16"/>
                <w:lang/>
              </w:rPr>
            </w:pPr>
            <w:r w:rsidRPr="00F704C2">
              <w:rPr>
                <w:rFonts w:ascii="Times New Roman" w:hAnsi="Times New Roman"/>
                <w:sz w:val="16"/>
                <w:szCs w:val="16"/>
                <w:lang/>
              </w:rPr>
              <w:t xml:space="preserve">Проект бюджета на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704C2">
                <w:rPr>
                  <w:rFonts w:ascii="Times New Roman" w:hAnsi="Times New Roman"/>
                  <w:sz w:val="16"/>
                  <w:szCs w:val="16"/>
                  <w:lang/>
                </w:rPr>
                <w:t>2019 г</w:t>
              </w:r>
            </w:smartTag>
            <w:r w:rsidRPr="00F704C2">
              <w:rPr>
                <w:rFonts w:ascii="Times New Roman" w:hAnsi="Times New Roman"/>
                <w:sz w:val="16"/>
                <w:szCs w:val="16"/>
                <w:lang/>
              </w:rPr>
              <w:t>., тыс. руб.</w:t>
            </w:r>
          </w:p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(1 чтение)</w:t>
            </w:r>
          </w:p>
        </w:tc>
        <w:tc>
          <w:tcPr>
            <w:tcW w:w="1565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Структура проекта бюджета на 2019 год</w:t>
            </w:r>
          </w:p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(1 чтение)</w:t>
            </w:r>
          </w:p>
        </w:tc>
        <w:tc>
          <w:tcPr>
            <w:tcW w:w="1412" w:type="dxa"/>
          </w:tcPr>
          <w:p w:rsidR="00F704C2" w:rsidRPr="00F704C2" w:rsidRDefault="00F704C2" w:rsidP="005C38D8">
            <w:pPr>
              <w:pStyle w:val="a6"/>
              <w:snapToGrid w:val="0"/>
              <w:rPr>
                <w:rFonts w:ascii="Times New Roman" w:hAnsi="Times New Roman"/>
                <w:sz w:val="16"/>
                <w:szCs w:val="16"/>
                <w:lang/>
              </w:rPr>
            </w:pPr>
            <w:r w:rsidRPr="00F704C2">
              <w:rPr>
                <w:rFonts w:ascii="Times New Roman" w:hAnsi="Times New Roman"/>
                <w:sz w:val="16"/>
                <w:szCs w:val="16"/>
                <w:lang/>
              </w:rPr>
              <w:t xml:space="preserve">Проект бюджета на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704C2">
                <w:rPr>
                  <w:rFonts w:ascii="Times New Roman" w:hAnsi="Times New Roman"/>
                  <w:sz w:val="16"/>
                  <w:szCs w:val="16"/>
                  <w:lang/>
                </w:rPr>
                <w:t>2019 г</w:t>
              </w:r>
            </w:smartTag>
            <w:r w:rsidRPr="00F704C2">
              <w:rPr>
                <w:rFonts w:ascii="Times New Roman" w:hAnsi="Times New Roman"/>
                <w:sz w:val="16"/>
                <w:szCs w:val="16"/>
                <w:lang/>
              </w:rPr>
              <w:t>., тыс. руб.</w:t>
            </w:r>
          </w:p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(2 чтение)</w:t>
            </w:r>
          </w:p>
        </w:tc>
        <w:tc>
          <w:tcPr>
            <w:tcW w:w="1349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Структура проекта бюджета на 2019 год</w:t>
            </w:r>
          </w:p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(2чтение)</w:t>
            </w:r>
          </w:p>
        </w:tc>
      </w:tr>
      <w:tr w:rsidR="00F704C2" w:rsidRPr="00F704C2" w:rsidTr="005C38D8">
        <w:trPr>
          <w:trHeight w:val="272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Общегосударственные вопросы (0100)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14733,39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14,33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15128,39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16,7</w:t>
            </w:r>
          </w:p>
        </w:tc>
      </w:tr>
      <w:tr w:rsidR="00F704C2" w:rsidRPr="00F704C2" w:rsidTr="005C38D8">
        <w:trPr>
          <w:trHeight w:val="558"/>
        </w:trPr>
        <w:tc>
          <w:tcPr>
            <w:tcW w:w="540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864,8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0,84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864,8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0,95</w:t>
            </w:r>
          </w:p>
        </w:tc>
      </w:tr>
      <w:tr w:rsidR="00F704C2" w:rsidRPr="00F704C2" w:rsidTr="005C38D8">
        <w:trPr>
          <w:trHeight w:val="272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Национальная экономика (0400)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4837,31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4,71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4337,31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4,8</w:t>
            </w:r>
          </w:p>
        </w:tc>
      </w:tr>
      <w:tr w:rsidR="00F704C2" w:rsidRPr="00F704C2" w:rsidTr="005C38D8">
        <w:trPr>
          <w:trHeight w:val="272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Жилищно-коммунальное хозяйство (0500)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910,6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0,89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910,6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1,0</w:t>
            </w:r>
          </w:p>
        </w:tc>
      </w:tr>
      <w:tr w:rsidR="00F704C2" w:rsidRPr="00F704C2" w:rsidTr="005C38D8">
        <w:trPr>
          <w:trHeight w:val="272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Образование (0700)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61779,81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60,1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49169,193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54,28</w:t>
            </w:r>
          </w:p>
        </w:tc>
      </w:tr>
      <w:tr w:rsidR="00F704C2" w:rsidRPr="00F704C2" w:rsidTr="005C38D8">
        <w:trPr>
          <w:trHeight w:val="272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Культура, кинематография (0800)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14057,8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13,68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14557,8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16,07</w:t>
            </w:r>
          </w:p>
        </w:tc>
      </w:tr>
      <w:tr w:rsidR="00F704C2" w:rsidRPr="00F704C2" w:rsidTr="005C38D8">
        <w:trPr>
          <w:trHeight w:val="272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Здравоохранение (0900)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30,0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0,02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30,0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0,03</w:t>
            </w:r>
          </w:p>
        </w:tc>
      </w:tr>
      <w:tr w:rsidR="00F704C2" w:rsidRPr="00F704C2" w:rsidTr="005C38D8">
        <w:trPr>
          <w:trHeight w:val="272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Социальная политика (1000)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1519,512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1,48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1519,512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1,68</w:t>
            </w:r>
          </w:p>
        </w:tc>
      </w:tr>
      <w:tr w:rsidR="00F704C2" w:rsidRPr="00F704C2" w:rsidTr="005C38D8">
        <w:trPr>
          <w:trHeight w:val="272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Физическая культура и спорт (1100)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31,0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0,03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31,0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0,03</w:t>
            </w:r>
          </w:p>
        </w:tc>
      </w:tr>
      <w:tr w:rsidR="00F704C2" w:rsidRPr="00F704C2" w:rsidTr="005C38D8">
        <w:trPr>
          <w:trHeight w:val="558"/>
        </w:trPr>
        <w:tc>
          <w:tcPr>
            <w:tcW w:w="540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Обслуживание государственного и муниципального долга (1300)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0,09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0,11</w:t>
            </w:r>
          </w:p>
        </w:tc>
      </w:tr>
      <w:tr w:rsidR="00F704C2" w:rsidRPr="00F704C2" w:rsidTr="005C38D8">
        <w:trPr>
          <w:trHeight w:val="272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11</w:t>
            </w: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 (1400)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3940,0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3,83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3940,0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4,35</w:t>
            </w:r>
          </w:p>
        </w:tc>
      </w:tr>
      <w:tr w:rsidR="00F704C2" w:rsidRPr="00F704C2" w:rsidTr="005C38D8">
        <w:trPr>
          <w:trHeight w:val="272"/>
        </w:trPr>
        <w:tc>
          <w:tcPr>
            <w:tcW w:w="540" w:type="dxa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58" w:type="dxa"/>
          </w:tcPr>
          <w:p w:rsidR="00F704C2" w:rsidRPr="00F704C2" w:rsidRDefault="00F704C2" w:rsidP="005C38D8">
            <w:pPr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ИТОГО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102804,222</w:t>
            </w:r>
          </w:p>
        </w:tc>
        <w:tc>
          <w:tcPr>
            <w:tcW w:w="1565" w:type="dxa"/>
            <w:vAlign w:val="center"/>
          </w:tcPr>
          <w:p w:rsidR="00F704C2" w:rsidRPr="00F704C2" w:rsidRDefault="00F704C2" w:rsidP="005C38D8">
            <w:pPr>
              <w:ind w:right="287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  <w:tc>
          <w:tcPr>
            <w:tcW w:w="1412" w:type="dxa"/>
            <w:vAlign w:val="center"/>
          </w:tcPr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90588,605</w:t>
            </w:r>
          </w:p>
        </w:tc>
        <w:tc>
          <w:tcPr>
            <w:tcW w:w="1349" w:type="dxa"/>
            <w:vAlign w:val="center"/>
          </w:tcPr>
          <w:p w:rsidR="00F704C2" w:rsidRPr="00F704C2" w:rsidRDefault="00F704C2" w:rsidP="005C38D8">
            <w:pPr>
              <w:ind w:right="287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</w:tr>
    </w:tbl>
    <w:p w:rsidR="00F704C2" w:rsidRPr="00F704C2" w:rsidRDefault="00F704C2" w:rsidP="00F704C2">
      <w:pPr>
        <w:jc w:val="both"/>
        <w:rPr>
          <w:b/>
          <w:sz w:val="16"/>
          <w:szCs w:val="16"/>
        </w:rPr>
      </w:pPr>
      <w:r w:rsidRPr="00F704C2">
        <w:rPr>
          <w:b/>
          <w:sz w:val="16"/>
          <w:szCs w:val="16"/>
        </w:rPr>
        <w:t xml:space="preserve">Распределение бюджетных ассигнований местного бюджета на 2019 год по разделам, подразделам классификации расходов  бюджетов с учетом изменений приведены в следующей таблице:    </w:t>
      </w:r>
    </w:p>
    <w:p w:rsidR="00F704C2" w:rsidRPr="00F704C2" w:rsidRDefault="00F704C2" w:rsidP="00F704C2">
      <w:pPr>
        <w:jc w:val="both"/>
        <w:rPr>
          <w:b/>
          <w:sz w:val="16"/>
          <w:szCs w:val="16"/>
        </w:rPr>
      </w:pPr>
      <w:r w:rsidRPr="00F704C2">
        <w:rPr>
          <w:b/>
          <w:sz w:val="16"/>
          <w:szCs w:val="16"/>
        </w:rPr>
        <w:t xml:space="preserve">         </w:t>
      </w:r>
    </w:p>
    <w:tbl>
      <w:tblPr>
        <w:tblW w:w="10276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260"/>
        <w:gridCol w:w="1276"/>
      </w:tblGrid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Проект на 2019г. Сумма </w:t>
            </w:r>
          </w:p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тыс. руб. </w:t>
            </w:r>
          </w:p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(1 чтение)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Проект на 2019г. Сумма </w:t>
            </w:r>
          </w:p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тыс. руб.</w:t>
            </w:r>
          </w:p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(2 чтение)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 (+;-) в 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тыс. руб. </w:t>
            </w:r>
          </w:p>
          <w:p w:rsidR="00F704C2" w:rsidRPr="00F704C2" w:rsidRDefault="00F704C2" w:rsidP="005C38D8">
            <w:pPr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(гр.4 – гр.3)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14733,39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15128,39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+395,0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760,8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760,8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408,0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408,0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5974,79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5848,79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-126,0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2117,6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2117,6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0107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631,0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631,0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4831,2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5352,2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+521,0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864,8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864,8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864,8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864,8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4837,31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4337,31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-500,0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634,4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634,4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Транспорт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0408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2,91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4200,0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3700,0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-500,0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910,6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910,6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44,4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866,2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866,2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61779,81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49169,193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-12610,617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12368,28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10867,225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-1501,055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41303,13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29693,568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-11609,562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lastRenderedPageBreak/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4172,3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4172,3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3866,1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4366,1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+500,0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14057,8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14557,8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+500,0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Культура в т.ч.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13080,0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13580,0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+500,0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7419,0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7237,2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-181,8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835,2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1517,0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+681,8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4825,8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4825,8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977,8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977,8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Здравоохранение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0900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0909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1519,512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1519,512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04C2">
              <w:rPr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  <w:lang w:val="en-US"/>
              </w:rPr>
              <w:t>50</w:t>
            </w:r>
            <w:r w:rsidRPr="00F704C2">
              <w:rPr>
                <w:sz w:val="16"/>
                <w:szCs w:val="16"/>
              </w:rPr>
              <w:t>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424,1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424,1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1045,412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1045,412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31,0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31,0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Обслуживание государственного внутреннего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3940,0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3940,0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3800,0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3800,0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-</w:t>
            </w:r>
          </w:p>
        </w:tc>
      </w:tr>
      <w:tr w:rsidR="00F704C2" w:rsidRPr="00F704C2" w:rsidTr="005C38D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 xml:space="preserve">ВСЕГО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sz w:val="16"/>
                <w:szCs w:val="16"/>
              </w:rPr>
            </w:pPr>
            <w:r w:rsidRPr="00F704C2">
              <w:rPr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102804,222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90588,605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C2" w:rsidRPr="00F704C2" w:rsidRDefault="00F704C2" w:rsidP="005C38D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-12215,617</w:t>
            </w:r>
          </w:p>
        </w:tc>
      </w:tr>
    </w:tbl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  <w:r w:rsidRPr="00F704C2">
        <w:rPr>
          <w:color w:val="0000FF"/>
          <w:sz w:val="16"/>
          <w:szCs w:val="16"/>
        </w:rPr>
        <w:t xml:space="preserve"> </w:t>
      </w:r>
    </w:p>
    <w:p w:rsidR="00F704C2" w:rsidRPr="00F704C2" w:rsidRDefault="00F704C2" w:rsidP="00F704C2">
      <w:pPr>
        <w:jc w:val="center"/>
        <w:rPr>
          <w:b/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</w:p>
    <w:tbl>
      <w:tblPr>
        <w:tblStyle w:val="a7"/>
        <w:tblW w:w="0" w:type="auto"/>
        <w:tblLook w:val="01E0"/>
      </w:tblPr>
      <w:tblGrid>
        <w:gridCol w:w="9571"/>
      </w:tblGrid>
      <w:tr w:rsidR="00F704C2" w:rsidRPr="00F704C2" w:rsidTr="005C38D8">
        <w:tc>
          <w:tcPr>
            <w:tcW w:w="9571" w:type="dxa"/>
          </w:tcPr>
          <w:p w:rsidR="00F704C2" w:rsidRPr="00F704C2" w:rsidRDefault="00F704C2" w:rsidP="005C38D8">
            <w:pPr>
              <w:jc w:val="both"/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>Дефицит бюджета – превышение расходов бюджета над его доходами.</w:t>
            </w:r>
          </w:p>
          <w:p w:rsidR="00F704C2" w:rsidRPr="00F704C2" w:rsidRDefault="00F704C2" w:rsidP="005C38D8">
            <w:pPr>
              <w:jc w:val="both"/>
              <w:rPr>
                <w:sz w:val="16"/>
                <w:szCs w:val="16"/>
              </w:rPr>
            </w:pPr>
          </w:p>
        </w:tc>
      </w:tr>
    </w:tbl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</w:p>
    <w:p w:rsidR="00F704C2" w:rsidRPr="00F704C2" w:rsidRDefault="00F704C2" w:rsidP="00F704C2">
      <w:pPr>
        <w:jc w:val="both"/>
        <w:rPr>
          <w:sz w:val="16"/>
          <w:szCs w:val="16"/>
        </w:rPr>
      </w:pPr>
      <w:r w:rsidRPr="00F704C2">
        <w:rPr>
          <w:sz w:val="16"/>
          <w:szCs w:val="16"/>
        </w:rPr>
        <w:t>Программа муниципальных внутренних заимствований Межевского муниципального района представляет собой перечень заимствований по видам заимствований, направляемых на покрытие дефицита бюджета и погашение долговых обязательств.</w:t>
      </w:r>
    </w:p>
    <w:p w:rsidR="00F704C2" w:rsidRPr="00F704C2" w:rsidRDefault="00F704C2" w:rsidP="00F704C2">
      <w:pPr>
        <w:jc w:val="center"/>
        <w:rPr>
          <w:b/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FF0000"/>
          <w:sz w:val="16"/>
          <w:szCs w:val="16"/>
        </w:rPr>
      </w:pPr>
    </w:p>
    <w:tbl>
      <w:tblPr>
        <w:tblStyle w:val="a7"/>
        <w:tblW w:w="0" w:type="auto"/>
        <w:tblLook w:val="01E0"/>
      </w:tblPr>
      <w:tblGrid>
        <w:gridCol w:w="9571"/>
      </w:tblGrid>
      <w:tr w:rsidR="00F704C2" w:rsidRPr="00F704C2" w:rsidTr="005C38D8">
        <w:tc>
          <w:tcPr>
            <w:tcW w:w="9571" w:type="dxa"/>
          </w:tcPr>
          <w:p w:rsidR="00F704C2" w:rsidRPr="00F704C2" w:rsidRDefault="00F704C2" w:rsidP="005C38D8">
            <w:pPr>
              <w:rPr>
                <w:b/>
                <w:sz w:val="16"/>
                <w:szCs w:val="16"/>
              </w:rPr>
            </w:pPr>
            <w:r w:rsidRPr="00F704C2">
              <w:rPr>
                <w:b/>
                <w:sz w:val="16"/>
                <w:szCs w:val="16"/>
              </w:rPr>
              <w:t xml:space="preserve">ПРЕДЕЛЬНЫЙ ОБЪЕМ МУНИЦИПАЛЬНОГО ДОЛГА </w:t>
            </w:r>
            <w:r w:rsidRPr="00F704C2">
              <w:rPr>
                <w:sz w:val="16"/>
                <w:szCs w:val="16"/>
              </w:rPr>
              <w:t>определен в сумме 13001,8 тыс. руб., что обусловлено ст.107 БК РФ</w:t>
            </w:r>
            <w:r w:rsidRPr="00F704C2">
              <w:rPr>
                <w:b/>
                <w:sz w:val="16"/>
                <w:szCs w:val="16"/>
              </w:rPr>
              <w:t xml:space="preserve"> </w:t>
            </w:r>
          </w:p>
        </w:tc>
      </w:tr>
    </w:tbl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p w:rsidR="00F704C2" w:rsidRPr="00F704C2" w:rsidRDefault="00F704C2" w:rsidP="00F704C2">
      <w:pPr>
        <w:jc w:val="both"/>
        <w:rPr>
          <w:color w:val="0000FF"/>
          <w:sz w:val="16"/>
          <w:szCs w:val="16"/>
        </w:rPr>
      </w:pPr>
    </w:p>
    <w:sectPr w:rsidR="00F704C2" w:rsidRPr="00F704C2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1">
    <w:nsid w:val="2C916A82"/>
    <w:multiLevelType w:val="hybridMultilevel"/>
    <w:tmpl w:val="D1C04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A62"/>
    <w:rsid w:val="00051CED"/>
    <w:rsid w:val="000822B9"/>
    <w:rsid w:val="000B1AF7"/>
    <w:rsid w:val="001C25CF"/>
    <w:rsid w:val="00276B40"/>
    <w:rsid w:val="002E0841"/>
    <w:rsid w:val="004027EC"/>
    <w:rsid w:val="00436A48"/>
    <w:rsid w:val="00494784"/>
    <w:rsid w:val="0052624C"/>
    <w:rsid w:val="005354AE"/>
    <w:rsid w:val="00596155"/>
    <w:rsid w:val="00704566"/>
    <w:rsid w:val="009B1181"/>
    <w:rsid w:val="00A44709"/>
    <w:rsid w:val="00B66967"/>
    <w:rsid w:val="00C3575B"/>
    <w:rsid w:val="00C36274"/>
    <w:rsid w:val="00C83FF0"/>
    <w:rsid w:val="00D34A62"/>
    <w:rsid w:val="00EB3F62"/>
    <w:rsid w:val="00F312B8"/>
    <w:rsid w:val="00F7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34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34A62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1"/>
    <w:next w:val="a1"/>
    <w:link w:val="20"/>
    <w:qFormat/>
    <w:rsid w:val="00D34A62"/>
    <w:pPr>
      <w:keepNext/>
      <w:outlineLvl w:val="1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caption"/>
    <w:basedOn w:val="a1"/>
    <w:next w:val="a1"/>
    <w:unhideWhenUsed/>
    <w:qFormat/>
    <w:rsid w:val="00D34A62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6">
    <w:name w:val="Содержимое таблицы"/>
    <w:basedOn w:val="a1"/>
    <w:rsid w:val="00D34A62"/>
    <w:pPr>
      <w:widowControl w:val="0"/>
      <w:suppressLineNumbers/>
      <w:suppressAutoHyphens/>
    </w:pPr>
    <w:rPr>
      <w:rFonts w:ascii="Arial" w:eastAsia="Arial Unicode MS" w:hAnsi="Arial"/>
      <w:kern w:val="2"/>
      <w:sz w:val="20"/>
    </w:rPr>
  </w:style>
  <w:style w:type="table" w:styleId="a7">
    <w:name w:val="Table Grid"/>
    <w:basedOn w:val="a3"/>
    <w:rsid w:val="00D34A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2"/>
    <w:link w:val="1"/>
    <w:rsid w:val="00D34A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D34A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D34A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Название Знак"/>
    <w:basedOn w:val="a2"/>
    <w:link w:val="a9"/>
    <w:locked/>
    <w:rsid w:val="00D34A62"/>
    <w:rPr>
      <w:sz w:val="28"/>
    </w:rPr>
  </w:style>
  <w:style w:type="paragraph" w:styleId="a9">
    <w:name w:val="Title"/>
    <w:basedOn w:val="a1"/>
    <w:link w:val="a8"/>
    <w:qFormat/>
    <w:rsid w:val="00D34A62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1">
    <w:name w:val="Название Знак1"/>
    <w:basedOn w:val="a2"/>
    <w:link w:val="a9"/>
    <w:rsid w:val="00D34A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ConsPlusNormal0">
    <w:name w:val="ConsPlusNormal Знак"/>
    <w:basedOn w:val="a2"/>
    <w:link w:val="ConsPlusNormal"/>
    <w:locked/>
    <w:rsid w:val="00D34A62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1"/>
    <w:link w:val="ab"/>
    <w:unhideWhenUsed/>
    <w:rsid w:val="00D34A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rsid w:val="00D34A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a"/>
    <w:basedOn w:val="a1"/>
    <w:rsid w:val="00D34A62"/>
    <w:pPr>
      <w:ind w:firstLine="709"/>
      <w:jc w:val="both"/>
    </w:pPr>
    <w:rPr>
      <w:rFonts w:ascii="Tahoma" w:hAnsi="Tahoma" w:cs="Tahoma"/>
      <w:sz w:val="20"/>
      <w:szCs w:val="20"/>
    </w:rPr>
  </w:style>
  <w:style w:type="paragraph" w:styleId="ad">
    <w:name w:val="Normal (Web)"/>
    <w:basedOn w:val="a1"/>
    <w:rsid w:val="00D34A62"/>
    <w:pPr>
      <w:spacing w:before="100" w:beforeAutospacing="1" w:after="100" w:afterAutospacing="1"/>
    </w:pPr>
  </w:style>
  <w:style w:type="paragraph" w:customStyle="1" w:styleId="Style4">
    <w:name w:val="Style4"/>
    <w:basedOn w:val="a1"/>
    <w:rsid w:val="00D34A62"/>
    <w:pPr>
      <w:widowControl w:val="0"/>
      <w:autoSpaceDE w:val="0"/>
      <w:autoSpaceDN w:val="0"/>
      <w:adjustRightInd w:val="0"/>
      <w:spacing w:line="316" w:lineRule="exact"/>
      <w:ind w:firstLine="360"/>
      <w:jc w:val="both"/>
    </w:pPr>
  </w:style>
  <w:style w:type="character" w:customStyle="1" w:styleId="FontStyle11">
    <w:name w:val="Font Style11"/>
    <w:rsid w:val="00D34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D34A62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1"/>
    <w:rsid w:val="00D34A62"/>
    <w:pPr>
      <w:widowControl w:val="0"/>
      <w:autoSpaceDE w:val="0"/>
      <w:autoSpaceDN w:val="0"/>
      <w:adjustRightInd w:val="0"/>
      <w:spacing w:line="318" w:lineRule="exact"/>
      <w:ind w:firstLine="274"/>
      <w:jc w:val="both"/>
    </w:pPr>
  </w:style>
  <w:style w:type="paragraph" w:customStyle="1" w:styleId="ConsPlusTitle">
    <w:name w:val="ConsPlusTitle"/>
    <w:rsid w:val="00D34A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2">
    <w:name w:val="Font Style12"/>
    <w:basedOn w:val="a2"/>
    <w:rsid w:val="00D34A62"/>
    <w:rPr>
      <w:rFonts w:ascii="Times New Roman" w:hAnsi="Times New Roman" w:cs="Times New Roman"/>
      <w:sz w:val="26"/>
      <w:szCs w:val="26"/>
    </w:rPr>
  </w:style>
  <w:style w:type="character" w:customStyle="1" w:styleId="blk">
    <w:name w:val="blk"/>
    <w:basedOn w:val="a2"/>
    <w:rsid w:val="00D34A62"/>
  </w:style>
  <w:style w:type="paragraph" w:customStyle="1" w:styleId="a">
    <w:name w:val="Нумерация"/>
    <w:basedOn w:val="a1"/>
    <w:rsid w:val="00D34A62"/>
    <w:pPr>
      <w:widowControl w:val="0"/>
      <w:numPr>
        <w:numId w:val="2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D34A62"/>
    <w:pPr>
      <w:widowControl w:val="0"/>
      <w:numPr>
        <w:numId w:val="3"/>
      </w:numPr>
      <w:suppressLineNumbers/>
      <w:spacing w:line="312" w:lineRule="auto"/>
      <w:jc w:val="both"/>
    </w:pPr>
    <w:rPr>
      <w:sz w:val="28"/>
      <w:szCs w:val="28"/>
    </w:rPr>
  </w:style>
  <w:style w:type="character" w:customStyle="1" w:styleId="Absatz-Standardschriftart">
    <w:name w:val="Absatz-Standardschriftart"/>
    <w:rsid w:val="00D34A62"/>
  </w:style>
  <w:style w:type="paragraph" w:styleId="ae">
    <w:name w:val="Body Text"/>
    <w:basedOn w:val="a1"/>
    <w:link w:val="af"/>
    <w:rsid w:val="00D34A62"/>
    <w:pPr>
      <w:widowControl w:val="0"/>
      <w:suppressAutoHyphens/>
      <w:spacing w:after="120"/>
    </w:pPr>
    <w:rPr>
      <w:rFonts w:ascii="Arial" w:eastAsia="Arial Unicode MS" w:hAnsi="Arial"/>
      <w:kern w:val="1"/>
      <w:sz w:val="20"/>
    </w:rPr>
  </w:style>
  <w:style w:type="character" w:customStyle="1" w:styleId="af">
    <w:name w:val="Основной текст Знак"/>
    <w:basedOn w:val="a2"/>
    <w:link w:val="ae"/>
    <w:rsid w:val="00D34A62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0">
    <w:name w:val="адрес"/>
    <w:basedOn w:val="a1"/>
    <w:rsid w:val="00D34A62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1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3</cp:revision>
  <cp:lastPrinted>2019-01-09T11:54:00Z</cp:lastPrinted>
  <dcterms:created xsi:type="dcterms:W3CDTF">2018-12-29T06:34:00Z</dcterms:created>
  <dcterms:modified xsi:type="dcterms:W3CDTF">2019-01-09T11:56:00Z</dcterms:modified>
</cp:coreProperties>
</file>